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29D2" w14:textId="389474C8" w:rsidR="00C42CEA" w:rsidRPr="00665917" w:rsidRDefault="00C42CEA" w:rsidP="00EE1772">
      <w:pPr>
        <w:rPr>
          <w:b/>
          <w:sz w:val="28"/>
          <w:szCs w:val="28"/>
        </w:rPr>
      </w:pPr>
      <w:r w:rsidRPr="00665917">
        <w:rPr>
          <w:b/>
          <w:sz w:val="28"/>
        </w:rPr>
        <w:t>ANNEXE SUP 9</w:t>
      </w:r>
      <w:r w:rsidR="0036669E" w:rsidRPr="00665917">
        <w:rPr>
          <w:b/>
          <w:sz w:val="28"/>
        </w:rPr>
        <w:t> :</w:t>
      </w:r>
      <w:r w:rsidRPr="00665917">
        <w:rPr>
          <w:b/>
          <w:sz w:val="28"/>
        </w:rPr>
        <w:t xml:space="preserve"> Lignes directrices sur le transport et le stockage</w:t>
      </w:r>
    </w:p>
    <w:p w14:paraId="085429D3" w14:textId="77777777" w:rsidR="00D96FA8" w:rsidRPr="00665917" w:rsidRDefault="00D96FA8" w:rsidP="00C42CEA"/>
    <w:p w14:paraId="085429D4" w14:textId="77777777" w:rsidR="00C42CEA" w:rsidRPr="00665917" w:rsidRDefault="00C42CEA" w:rsidP="00C42CEA">
      <w:pPr>
        <w:rPr>
          <w:sz w:val="20"/>
          <w:szCs w:val="20"/>
        </w:rPr>
      </w:pPr>
      <w:r w:rsidRPr="00665917">
        <w:rPr>
          <w:sz w:val="20"/>
        </w:rPr>
        <w:t>Cette annexe fournit des informations de base concernant les modalités et définitions relatives au transport de marchandises.</w:t>
      </w:r>
    </w:p>
    <w:p w14:paraId="085429D5" w14:textId="77777777" w:rsidR="00C42CEA" w:rsidRPr="00665917" w:rsidRDefault="00C42CEA" w:rsidP="00C42CEA"/>
    <w:p w14:paraId="085429D6" w14:textId="77777777" w:rsidR="00C42CEA" w:rsidRPr="00665917" w:rsidRDefault="00C42CEA" w:rsidP="00C42CEA"/>
    <w:p w14:paraId="085429D7" w14:textId="77777777" w:rsidR="00C42CEA" w:rsidRPr="00665917" w:rsidRDefault="00C42CEA" w:rsidP="00C42CEA">
      <w:pPr>
        <w:rPr>
          <w:b/>
          <w:bCs/>
          <w:sz w:val="22"/>
        </w:rPr>
      </w:pPr>
      <w:bookmarkStart w:id="0" w:name="_Toc251669723"/>
      <w:r w:rsidRPr="00665917">
        <w:rPr>
          <w:b/>
          <w:sz w:val="22"/>
        </w:rPr>
        <w:t>Considérations avant de décider du mode de transport</w:t>
      </w:r>
      <w:bookmarkEnd w:id="0"/>
    </w:p>
    <w:p w14:paraId="085429D8" w14:textId="77777777" w:rsidR="00C42CEA" w:rsidRPr="00665917" w:rsidRDefault="00C42CEA" w:rsidP="00C42CEA">
      <w:pPr>
        <w:rPr>
          <w:b/>
        </w:rPr>
      </w:pPr>
    </w:p>
    <w:p w14:paraId="085429D9" w14:textId="77777777" w:rsidR="00C42CEA" w:rsidRPr="00665917" w:rsidRDefault="00C42CEA" w:rsidP="00C42CEA">
      <w:pPr>
        <w:rPr>
          <w:b/>
        </w:rPr>
      </w:pPr>
      <w:r w:rsidRPr="00665917">
        <w:rPr>
          <w:b/>
        </w:rPr>
        <w:t xml:space="preserve">Type de marchandises </w:t>
      </w:r>
    </w:p>
    <w:p w14:paraId="085429DA" w14:textId="77777777" w:rsidR="00C42CEA" w:rsidRPr="00665917" w:rsidRDefault="00C42CEA" w:rsidP="00C42CEA">
      <w:pPr>
        <w:rPr>
          <w:sz w:val="20"/>
          <w:szCs w:val="20"/>
        </w:rPr>
      </w:pPr>
      <w:r w:rsidRPr="00665917">
        <w:rPr>
          <w:sz w:val="20"/>
        </w:rPr>
        <w:t xml:space="preserve">Certains produits nécessitent un temps de transport court en raison de la durée de vie limitée, certains sont sensibles à la température et nécessitent un transport réfrigéré, d'autres peuvent être classés comme des marchandises dangereuses et des règles particulières s'appliquent. </w:t>
      </w:r>
    </w:p>
    <w:p w14:paraId="085429DB" w14:textId="77777777" w:rsidR="00C42CEA" w:rsidRPr="00665917" w:rsidRDefault="00C42CEA" w:rsidP="00C42CEA">
      <w:pPr>
        <w:rPr>
          <w:sz w:val="20"/>
          <w:szCs w:val="20"/>
        </w:rPr>
      </w:pPr>
    </w:p>
    <w:p w14:paraId="085429DC" w14:textId="2C99FCAE" w:rsidR="00C42CEA" w:rsidRPr="00665917" w:rsidRDefault="00C42CEA" w:rsidP="00C42CEA">
      <w:pPr>
        <w:rPr>
          <w:b/>
          <w:sz w:val="20"/>
          <w:szCs w:val="20"/>
        </w:rPr>
      </w:pPr>
      <w:r w:rsidRPr="00665917">
        <w:rPr>
          <w:b/>
          <w:sz w:val="20"/>
        </w:rPr>
        <w:t>Différents modes de transport</w:t>
      </w:r>
      <w:r w:rsidR="0036669E" w:rsidRPr="00665917">
        <w:rPr>
          <w:b/>
          <w:sz w:val="20"/>
        </w:rPr>
        <w:t xml:space="preserve"> </w:t>
      </w:r>
    </w:p>
    <w:p w14:paraId="085429DD" w14:textId="77777777" w:rsidR="00C42CEA" w:rsidRPr="00665917" w:rsidRDefault="00C42CEA" w:rsidP="00C42CEA">
      <w:pPr>
        <w:rPr>
          <w:sz w:val="20"/>
          <w:szCs w:val="20"/>
        </w:rPr>
      </w:pPr>
      <w:r w:rsidRPr="00665917">
        <w:rPr>
          <w:sz w:val="20"/>
        </w:rPr>
        <w:t xml:space="preserve">Comme décrit ci-dessus, le type de marchandises peut limiter vos options au moment de choisir le mode de transport. Si les options ne sont pas limitées, considérez le temps de transport et les coûts pour chaque mode de transport. Tenez également compte de l'itinéraire de l'envoi. Certains ports maritimes sont souvent congestionnés et la livraison des marchandises peut être retardée de plusieurs semaines. Les marchandises ont souvent besoin de passer par d'autres pays avant d'atteindre leur destination. Ayez connaissance des retards aux points de transit et soyez au courant de la documentation requise aux points de transit. </w:t>
      </w:r>
    </w:p>
    <w:p w14:paraId="085429DE" w14:textId="77777777" w:rsidR="00C42CEA" w:rsidRPr="00665917" w:rsidRDefault="00C42CEA" w:rsidP="00C42CEA">
      <w:pPr>
        <w:rPr>
          <w:sz w:val="20"/>
          <w:szCs w:val="20"/>
        </w:rPr>
      </w:pPr>
    </w:p>
    <w:p w14:paraId="085429DF" w14:textId="77777777" w:rsidR="00C42CEA" w:rsidRPr="00665917" w:rsidRDefault="00C42CEA" w:rsidP="00C42CEA">
      <w:pPr>
        <w:rPr>
          <w:b/>
          <w:sz w:val="20"/>
          <w:szCs w:val="20"/>
        </w:rPr>
      </w:pPr>
      <w:r w:rsidRPr="00665917">
        <w:rPr>
          <w:b/>
          <w:sz w:val="20"/>
        </w:rPr>
        <w:t xml:space="preserve">Inspections avant l'expédition </w:t>
      </w:r>
    </w:p>
    <w:p w14:paraId="085429E0" w14:textId="77777777" w:rsidR="00C42CEA" w:rsidRPr="00665917" w:rsidRDefault="00C42CEA" w:rsidP="00C42CEA">
      <w:pPr>
        <w:rPr>
          <w:sz w:val="20"/>
          <w:szCs w:val="20"/>
        </w:rPr>
      </w:pPr>
      <w:r w:rsidRPr="00665917">
        <w:rPr>
          <w:sz w:val="20"/>
        </w:rPr>
        <w:t xml:space="preserve">Dans certains pays (souvent des pays africains), le gouvernement exige que toutes les marchandises soient inspectées par une société d'inspection internationale avant l'expédition. </w:t>
      </w:r>
    </w:p>
    <w:p w14:paraId="085429E1" w14:textId="77777777" w:rsidR="00C42CEA" w:rsidRPr="00665917" w:rsidRDefault="00C42CEA" w:rsidP="00C42CEA">
      <w:pPr>
        <w:rPr>
          <w:sz w:val="20"/>
          <w:szCs w:val="20"/>
        </w:rPr>
      </w:pPr>
    </w:p>
    <w:p w14:paraId="085429E2" w14:textId="73E700D6" w:rsidR="00C42CEA" w:rsidRPr="00665917" w:rsidRDefault="00C42CEA" w:rsidP="00C42CEA">
      <w:pPr>
        <w:rPr>
          <w:b/>
          <w:sz w:val="20"/>
          <w:szCs w:val="20"/>
        </w:rPr>
      </w:pPr>
      <w:r w:rsidRPr="00665917">
        <w:rPr>
          <w:b/>
          <w:sz w:val="20"/>
        </w:rPr>
        <w:t>Assurance transport</w:t>
      </w:r>
      <w:r w:rsidR="0036669E" w:rsidRPr="00665917">
        <w:rPr>
          <w:b/>
          <w:sz w:val="20"/>
        </w:rPr>
        <w:t xml:space="preserve"> </w:t>
      </w:r>
    </w:p>
    <w:p w14:paraId="085429E3" w14:textId="33E6E753" w:rsidR="00C42CEA" w:rsidRPr="00665917" w:rsidRDefault="00C42CEA" w:rsidP="00C42CEA">
      <w:pPr>
        <w:rPr>
          <w:sz w:val="20"/>
          <w:szCs w:val="20"/>
        </w:rPr>
      </w:pPr>
      <w:r w:rsidRPr="00665917">
        <w:rPr>
          <w:sz w:val="20"/>
        </w:rPr>
        <w:t xml:space="preserve">Dans le cas où le transport ne serait pas couvert par le pouvoir adjudicateur ou par un contrat d'assurance de transport d'un partenaire d'exécution, il est recommandé d'obtenir une assurance de transport auprès des compagnies d'assurance et du transitaire. </w:t>
      </w:r>
    </w:p>
    <w:p w14:paraId="085429E4" w14:textId="77777777" w:rsidR="00C42CEA" w:rsidRPr="00665917" w:rsidRDefault="00C42CEA" w:rsidP="00C42CEA">
      <w:pPr>
        <w:rPr>
          <w:sz w:val="20"/>
          <w:szCs w:val="20"/>
        </w:rPr>
      </w:pPr>
    </w:p>
    <w:p w14:paraId="085429E5" w14:textId="77777777" w:rsidR="00C42CEA" w:rsidRPr="00665917" w:rsidRDefault="00C42CEA" w:rsidP="00C42CEA">
      <w:pPr>
        <w:rPr>
          <w:b/>
          <w:sz w:val="20"/>
          <w:szCs w:val="20"/>
        </w:rPr>
      </w:pPr>
      <w:r w:rsidRPr="00665917">
        <w:rPr>
          <w:b/>
          <w:sz w:val="20"/>
        </w:rPr>
        <w:t>Agent de compensation dans le pays de réception</w:t>
      </w:r>
    </w:p>
    <w:p w14:paraId="085429E6" w14:textId="647DD54B" w:rsidR="00C42CEA" w:rsidRPr="00665917" w:rsidRDefault="00C42CEA" w:rsidP="00C42CEA">
      <w:pPr>
        <w:rPr>
          <w:sz w:val="20"/>
          <w:szCs w:val="20"/>
        </w:rPr>
      </w:pPr>
      <w:r w:rsidRPr="00665917">
        <w:rPr>
          <w:sz w:val="20"/>
        </w:rPr>
        <w:t>Avant de réserver le transport, vérifiez toujours ce qui suit auprès d'un agent de compensation d'importation local</w:t>
      </w:r>
      <w:r w:rsidR="0036669E" w:rsidRPr="00665917">
        <w:rPr>
          <w:sz w:val="20"/>
        </w:rPr>
        <w:t> :</w:t>
      </w:r>
      <w:r w:rsidRPr="00665917">
        <w:rPr>
          <w:sz w:val="20"/>
        </w:rPr>
        <w:t xml:space="preserve"> </w:t>
      </w:r>
    </w:p>
    <w:p w14:paraId="085429E7" w14:textId="0F1205AA" w:rsidR="00C42CEA" w:rsidRPr="00665917" w:rsidRDefault="00C42CEA" w:rsidP="00C42CEA">
      <w:pPr>
        <w:pStyle w:val="Punktopstilling-opremsning"/>
        <w:rPr>
          <w:sz w:val="20"/>
          <w:szCs w:val="20"/>
        </w:rPr>
      </w:pPr>
      <w:r w:rsidRPr="00665917">
        <w:rPr>
          <w:sz w:val="20"/>
        </w:rPr>
        <w:t xml:space="preserve">Documents nécessaires pour dédouaner les marchandises spécifiques (nbre de copies et originaux) Les types </w:t>
      </w:r>
      <w:r w:rsidR="0036669E" w:rsidRPr="00665917">
        <w:rPr>
          <w:sz w:val="20"/>
        </w:rPr>
        <w:t>de documents pouvant être exigé</w:t>
      </w:r>
      <w:r w:rsidRPr="00665917">
        <w:rPr>
          <w:sz w:val="20"/>
        </w:rPr>
        <w:t>s sont</w:t>
      </w:r>
      <w:r w:rsidR="0036669E" w:rsidRPr="00665917">
        <w:rPr>
          <w:sz w:val="20"/>
        </w:rPr>
        <w:t> : l</w:t>
      </w:r>
      <w:r w:rsidRPr="00665917">
        <w:rPr>
          <w:sz w:val="20"/>
        </w:rPr>
        <w:t xml:space="preserve">e connaissement ou connaissement aérien, la facture, la liste d'emballage, les documents d'embargo, le certificat OGM, les documents de la commission IMCO, la licence d'importation, etc. </w:t>
      </w:r>
    </w:p>
    <w:p w14:paraId="085429E8" w14:textId="77777777" w:rsidR="00C42CEA" w:rsidRPr="00665917" w:rsidRDefault="00C42CEA" w:rsidP="00C42CEA">
      <w:pPr>
        <w:pStyle w:val="Punktopstilling-opremsning"/>
        <w:rPr>
          <w:sz w:val="20"/>
          <w:szCs w:val="20"/>
        </w:rPr>
      </w:pPr>
      <w:r w:rsidRPr="00665917">
        <w:rPr>
          <w:sz w:val="20"/>
        </w:rPr>
        <w:t>Temps nécessaire pour le dédouanement des marchandises</w:t>
      </w:r>
    </w:p>
    <w:p w14:paraId="085429E9" w14:textId="77777777" w:rsidR="00C42CEA" w:rsidRPr="00665917" w:rsidRDefault="00C42CEA" w:rsidP="00C42CEA">
      <w:pPr>
        <w:pStyle w:val="Punktopstilling-opremsning"/>
        <w:rPr>
          <w:sz w:val="20"/>
          <w:szCs w:val="20"/>
        </w:rPr>
      </w:pPr>
      <w:r w:rsidRPr="00665917">
        <w:rPr>
          <w:sz w:val="20"/>
        </w:rPr>
        <w:t>Temps pour obtenir une licence d'importation (et les documents nécessaires à cet effet)</w:t>
      </w:r>
    </w:p>
    <w:p w14:paraId="085429EA" w14:textId="77777777" w:rsidR="00C42CEA" w:rsidRPr="00665917" w:rsidRDefault="00C42CEA" w:rsidP="00C42CEA">
      <w:pPr>
        <w:pStyle w:val="Punktopstilling-opremsning"/>
        <w:rPr>
          <w:sz w:val="20"/>
          <w:szCs w:val="20"/>
        </w:rPr>
      </w:pPr>
      <w:r w:rsidRPr="00665917">
        <w:rPr>
          <w:sz w:val="20"/>
        </w:rPr>
        <w:t>Prix de l'agent de compensation pour le ou les services</w:t>
      </w:r>
    </w:p>
    <w:p w14:paraId="085429EB" w14:textId="77777777" w:rsidR="00C42CEA" w:rsidRPr="00665917" w:rsidRDefault="00C42CEA" w:rsidP="00C42CEA">
      <w:pPr>
        <w:rPr>
          <w:sz w:val="20"/>
          <w:szCs w:val="20"/>
        </w:rPr>
      </w:pPr>
    </w:p>
    <w:p w14:paraId="085429EC" w14:textId="77777777" w:rsidR="00C42CEA" w:rsidRPr="00665917" w:rsidRDefault="00C42CEA" w:rsidP="00C42CEA">
      <w:pPr>
        <w:rPr>
          <w:sz w:val="20"/>
          <w:szCs w:val="20"/>
        </w:rPr>
      </w:pPr>
      <w:r w:rsidRPr="00665917">
        <w:rPr>
          <w:sz w:val="20"/>
        </w:rPr>
        <w:t xml:space="preserve">Avant que les marchandises ne soient expédiées vers un pays déterminé, il est très important de s'assurer que tous les documents nécessaires sont en ordre et qu'une licence d'importation est obtenue - si nécessaire. </w:t>
      </w:r>
    </w:p>
    <w:p w14:paraId="085429ED" w14:textId="77777777" w:rsidR="00C42CEA" w:rsidRPr="00665917" w:rsidRDefault="00C42CEA" w:rsidP="00C42CEA">
      <w:pPr>
        <w:rPr>
          <w:b/>
          <w:sz w:val="20"/>
          <w:szCs w:val="20"/>
        </w:rPr>
      </w:pPr>
      <w:bookmarkStart w:id="1" w:name="_Toc251669727"/>
    </w:p>
    <w:p w14:paraId="085429EE" w14:textId="77777777" w:rsidR="00C42CEA" w:rsidRPr="00665917" w:rsidRDefault="00C42CEA" w:rsidP="00C42CEA">
      <w:pPr>
        <w:rPr>
          <w:b/>
          <w:sz w:val="20"/>
          <w:szCs w:val="20"/>
        </w:rPr>
      </w:pPr>
      <w:r w:rsidRPr="00665917">
        <w:rPr>
          <w:b/>
          <w:sz w:val="20"/>
        </w:rPr>
        <w:t>Réservation de transport auprès d'un transporteur</w:t>
      </w:r>
      <w:bookmarkEnd w:id="1"/>
    </w:p>
    <w:p w14:paraId="085429EF" w14:textId="332F945B" w:rsidR="00C42CEA" w:rsidRPr="00665917" w:rsidRDefault="00C42CEA" w:rsidP="00C42CEA">
      <w:pPr>
        <w:rPr>
          <w:sz w:val="20"/>
          <w:szCs w:val="20"/>
        </w:rPr>
      </w:pPr>
      <w:r w:rsidRPr="00665917">
        <w:rPr>
          <w:sz w:val="20"/>
        </w:rPr>
        <w:t>Lors de la réservation de transport auprès d'un transporteur, utilisez les modèles trouvés dans SUP 10-1</w:t>
      </w:r>
      <w:r w:rsidR="0036669E" w:rsidRPr="00665917">
        <w:rPr>
          <w:sz w:val="20"/>
        </w:rPr>
        <w:t> :</w:t>
      </w:r>
      <w:r w:rsidRPr="00665917">
        <w:rPr>
          <w:sz w:val="20"/>
        </w:rPr>
        <w:t xml:space="preserve"> Modèle pour la réservation de transport - Fret aérien et SUP 10-2</w:t>
      </w:r>
      <w:r w:rsidR="0036669E" w:rsidRPr="00665917">
        <w:rPr>
          <w:sz w:val="20"/>
        </w:rPr>
        <w:t> :</w:t>
      </w:r>
      <w:r w:rsidRPr="00665917">
        <w:rPr>
          <w:sz w:val="20"/>
        </w:rPr>
        <w:t xml:space="preserve"> Modèle pour la réservation de transport - Fret maritime.</w:t>
      </w:r>
    </w:p>
    <w:p w14:paraId="085429F0" w14:textId="77777777" w:rsidR="00C42CEA" w:rsidRPr="00665917" w:rsidRDefault="00C42CEA" w:rsidP="00C42CEA">
      <w:pPr>
        <w:rPr>
          <w:sz w:val="20"/>
          <w:szCs w:val="20"/>
        </w:rPr>
      </w:pPr>
      <w:r w:rsidRPr="00665917">
        <w:rPr>
          <w:sz w:val="20"/>
        </w:rPr>
        <w:t xml:space="preserve">Ces modèles peuvent également être appliqués comme liste de contrôle lors de la collecte des offres de transitaires. </w:t>
      </w:r>
    </w:p>
    <w:p w14:paraId="085429F1" w14:textId="77777777" w:rsidR="00C42CEA" w:rsidRPr="00665917" w:rsidRDefault="00C42CEA" w:rsidP="00C42CEA">
      <w:pPr>
        <w:rPr>
          <w:sz w:val="20"/>
          <w:szCs w:val="20"/>
        </w:rPr>
      </w:pPr>
    </w:p>
    <w:p w14:paraId="085429F2" w14:textId="02E5F98A" w:rsidR="00C42CEA" w:rsidRPr="00665917" w:rsidRDefault="0036669E" w:rsidP="00C42CEA">
      <w:pPr>
        <w:rPr>
          <w:b/>
          <w:sz w:val="20"/>
          <w:szCs w:val="20"/>
        </w:rPr>
      </w:pPr>
      <w:r w:rsidRPr="00665917">
        <w:rPr>
          <w:b/>
          <w:sz w:val="20"/>
        </w:rPr>
        <w:t>Transport</w:t>
      </w:r>
      <w:r w:rsidR="00C42CEA" w:rsidRPr="00665917">
        <w:rPr>
          <w:b/>
          <w:sz w:val="20"/>
        </w:rPr>
        <w:t xml:space="preserve"> éthique et fret</w:t>
      </w:r>
    </w:p>
    <w:p w14:paraId="085429F3" w14:textId="3942D064" w:rsidR="00C42CEA" w:rsidRPr="00665917" w:rsidRDefault="00C42CEA" w:rsidP="00C42CEA">
      <w:pPr>
        <w:rPr>
          <w:sz w:val="20"/>
          <w:szCs w:val="20"/>
        </w:rPr>
      </w:pPr>
      <w:r w:rsidRPr="00665917">
        <w:rPr>
          <w:sz w:val="20"/>
        </w:rPr>
        <w:t xml:space="preserve">Si vous avez recours à des fournisseurs de transport et de fret estimez les potentiels risques éthiques et prenez des précautions pour éviter les fournisseurs qui sont impliqués dans les activités de transport qui déclenchent, maintiennent ou exacerbent les conflits ou d'autres activités illégales. Si le transport aérien est </w:t>
      </w:r>
      <w:r w:rsidRPr="00665917">
        <w:rPr>
          <w:sz w:val="20"/>
        </w:rPr>
        <w:lastRenderedPageBreak/>
        <w:t xml:space="preserve">nécessaire, vous devez donner la préférence à des fournisseurs qui ne se trouvent pas sur la </w:t>
      </w:r>
      <w:r w:rsidRPr="00665917">
        <w:rPr>
          <w:rStyle w:val="Hyperlink"/>
          <w:sz w:val="20"/>
        </w:rPr>
        <w:t xml:space="preserve">liste des fournisseurs interdits de </w:t>
      </w:r>
      <w:r w:rsidR="0036669E" w:rsidRPr="00665917">
        <w:rPr>
          <w:rStyle w:val="Hyperlink"/>
          <w:sz w:val="20"/>
        </w:rPr>
        <w:t>l’</w:t>
      </w:r>
      <w:r w:rsidRPr="00665917">
        <w:rPr>
          <w:rStyle w:val="Hyperlink"/>
          <w:sz w:val="20"/>
        </w:rPr>
        <w:t>UE</w:t>
      </w:r>
      <w:r w:rsidRPr="00665917">
        <w:rPr>
          <w:sz w:val="20"/>
        </w:rPr>
        <w:t>.</w:t>
      </w:r>
    </w:p>
    <w:p w14:paraId="085429F4" w14:textId="77777777" w:rsidR="00C42CEA" w:rsidRPr="00665917" w:rsidRDefault="00C42CEA" w:rsidP="00C42CEA">
      <w:pPr>
        <w:rPr>
          <w:sz w:val="20"/>
          <w:szCs w:val="20"/>
        </w:rPr>
      </w:pPr>
    </w:p>
    <w:p w14:paraId="085429F5" w14:textId="77777777" w:rsidR="00C42CEA" w:rsidRPr="00665917" w:rsidRDefault="00C42CEA" w:rsidP="00C42CEA">
      <w:pPr>
        <w:rPr>
          <w:sz w:val="20"/>
          <w:szCs w:val="20"/>
        </w:rPr>
      </w:pPr>
      <w:r w:rsidRPr="00665917">
        <w:rPr>
          <w:sz w:val="20"/>
        </w:rPr>
        <w:t>En outre, les risques environnementaux doivent être pris en compte lors du choix du mode de transport et du transporteur.</w:t>
      </w:r>
    </w:p>
    <w:p w14:paraId="085429F6" w14:textId="77777777" w:rsidR="00C42CEA" w:rsidRPr="00665917" w:rsidRDefault="00C42CEA" w:rsidP="00C42CEA">
      <w:pPr>
        <w:rPr>
          <w:sz w:val="20"/>
          <w:szCs w:val="20"/>
        </w:rPr>
      </w:pPr>
    </w:p>
    <w:tbl>
      <w:tblPr>
        <w:tblStyle w:val="TableGrid"/>
        <w:tblW w:w="9076" w:type="dxa"/>
        <w:tblInd w:w="284"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CellMar>
          <w:top w:w="57" w:type="dxa"/>
          <w:left w:w="284" w:type="dxa"/>
          <w:bottom w:w="113" w:type="dxa"/>
          <w:right w:w="284" w:type="dxa"/>
        </w:tblCellMar>
        <w:tblLook w:val="04A0" w:firstRow="1" w:lastRow="0" w:firstColumn="1" w:lastColumn="0" w:noHBand="0" w:noVBand="1"/>
      </w:tblPr>
      <w:tblGrid>
        <w:gridCol w:w="9076"/>
      </w:tblGrid>
      <w:tr w:rsidR="00C42CEA" w:rsidRPr="00665917" w14:paraId="085429FD" w14:textId="77777777" w:rsidTr="007660C0">
        <w:trPr>
          <w:cantSplit/>
        </w:trPr>
        <w:tc>
          <w:tcPr>
            <w:tcW w:w="9076" w:type="dxa"/>
            <w:shd w:val="clear" w:color="auto" w:fill="auto"/>
          </w:tcPr>
          <w:p w14:paraId="085429F7" w14:textId="1FF4FC4C" w:rsidR="00C42CEA" w:rsidRPr="00665917" w:rsidRDefault="00C42CEA" w:rsidP="007660C0">
            <w:pPr>
              <w:rPr>
                <w:b/>
                <w:sz w:val="20"/>
                <w:szCs w:val="20"/>
              </w:rPr>
            </w:pPr>
            <w:r w:rsidRPr="00665917">
              <w:rPr>
                <w:b/>
                <w:sz w:val="20"/>
              </w:rPr>
              <w:t>Exemple</w:t>
            </w:r>
            <w:r w:rsidR="0036669E" w:rsidRPr="00665917">
              <w:rPr>
                <w:b/>
                <w:sz w:val="20"/>
              </w:rPr>
              <w:t> :</w:t>
            </w:r>
            <w:r w:rsidRPr="00665917">
              <w:rPr>
                <w:b/>
                <w:sz w:val="20"/>
              </w:rPr>
              <w:t xml:space="preserve"> Défis du transport</w:t>
            </w:r>
          </w:p>
          <w:p w14:paraId="085429F8" w14:textId="77777777" w:rsidR="00C42CEA" w:rsidRPr="00665917" w:rsidRDefault="00C42CEA" w:rsidP="007660C0">
            <w:pPr>
              <w:spacing w:line="240" w:lineRule="atLeast"/>
              <w:rPr>
                <w:sz w:val="20"/>
                <w:szCs w:val="20"/>
              </w:rPr>
            </w:pPr>
            <w:r w:rsidRPr="00665917">
              <w:rPr>
                <w:sz w:val="20"/>
              </w:rPr>
              <w:t>FRET AÉRIEN AU BURUNDI</w:t>
            </w:r>
          </w:p>
          <w:p w14:paraId="085429F9" w14:textId="53414EA4" w:rsidR="00C42CEA" w:rsidRPr="00665917" w:rsidRDefault="00C42CEA" w:rsidP="007660C0">
            <w:pPr>
              <w:spacing w:line="240" w:lineRule="atLeast"/>
              <w:rPr>
                <w:sz w:val="20"/>
                <w:szCs w:val="20"/>
              </w:rPr>
            </w:pPr>
            <w:r w:rsidRPr="00665917">
              <w:rPr>
                <w:sz w:val="20"/>
              </w:rPr>
              <w:t>Des équipements de communication par satellite ont été envoyés au Burundi par fret aérien, mais l'agent de compensation n'a pas réussi à dédouaner les marchandises car une licence d'importation était exigée. Les autorités ont refusé d'émettre la licence. Il a fallu attendre 14 mois avant d'obtenir la licence d'importation et de pouvoir dédouaner les marchandises</w:t>
            </w:r>
            <w:r w:rsidR="0036669E" w:rsidRPr="00665917">
              <w:rPr>
                <w:sz w:val="20"/>
              </w:rPr>
              <w:t>.</w:t>
            </w:r>
          </w:p>
          <w:p w14:paraId="085429FA" w14:textId="77777777" w:rsidR="00C42CEA" w:rsidRPr="00665917" w:rsidRDefault="00C42CEA" w:rsidP="007660C0">
            <w:pPr>
              <w:spacing w:line="240" w:lineRule="atLeast"/>
              <w:rPr>
                <w:sz w:val="20"/>
                <w:szCs w:val="20"/>
              </w:rPr>
            </w:pPr>
          </w:p>
          <w:p w14:paraId="085429FB" w14:textId="77777777" w:rsidR="00C42CEA" w:rsidRPr="00665917" w:rsidRDefault="00C42CEA" w:rsidP="007660C0">
            <w:pPr>
              <w:spacing w:line="240" w:lineRule="atLeast"/>
              <w:rPr>
                <w:sz w:val="20"/>
                <w:szCs w:val="20"/>
              </w:rPr>
            </w:pPr>
            <w:r w:rsidRPr="00665917">
              <w:rPr>
                <w:sz w:val="20"/>
              </w:rPr>
              <w:t>TRANSPORT PAR CONTENEURS EN ANGOLA</w:t>
            </w:r>
          </w:p>
          <w:p w14:paraId="085429FC" w14:textId="511C41F2" w:rsidR="00C42CEA" w:rsidRPr="00665917" w:rsidRDefault="00C42CEA" w:rsidP="0036669E">
            <w:pPr>
              <w:spacing w:line="240" w:lineRule="atLeast"/>
              <w:rPr>
                <w:sz w:val="20"/>
                <w:szCs w:val="20"/>
              </w:rPr>
            </w:pPr>
            <w:r w:rsidRPr="00665917">
              <w:rPr>
                <w:sz w:val="20"/>
              </w:rPr>
              <w:t xml:space="preserve">Un conteneur a été envoyé à Luanda, en Angola, mais les marchandises n'ont pas pu être dédouanées à leur arrivée en raison de problèmes </w:t>
            </w:r>
            <w:r w:rsidR="0036669E" w:rsidRPr="00665917">
              <w:rPr>
                <w:sz w:val="20"/>
              </w:rPr>
              <w:t>au niveau de</w:t>
            </w:r>
            <w:r w:rsidRPr="00665917">
              <w:rPr>
                <w:sz w:val="20"/>
              </w:rPr>
              <w:t xml:space="preserve"> la </w:t>
            </w:r>
            <w:r w:rsidR="0036669E" w:rsidRPr="00665917">
              <w:rPr>
                <w:sz w:val="20"/>
              </w:rPr>
              <w:t>documentation. En conséquence, d</w:t>
            </w:r>
            <w:r w:rsidRPr="00665917">
              <w:rPr>
                <w:sz w:val="20"/>
              </w:rPr>
              <w:t xml:space="preserve">es frais </w:t>
            </w:r>
            <w:r w:rsidR="0036669E" w:rsidRPr="00665917">
              <w:rPr>
                <w:sz w:val="20"/>
              </w:rPr>
              <w:t xml:space="preserve">de </w:t>
            </w:r>
            <w:r w:rsidRPr="00665917">
              <w:rPr>
                <w:sz w:val="20"/>
              </w:rPr>
              <w:t>surestaries ont été appliqués (des frais de surestaries sont imposés pour chaque jour de stockage du conteneur au port). Comme le destinataire ne disposait pas de fonds supplémentaires pour payer les surestaries, le conteneur n'a pas pu être dédouané et des frais de surestaries supplémentaires ont été appliqués</w:t>
            </w:r>
          </w:p>
        </w:tc>
      </w:tr>
    </w:tbl>
    <w:p w14:paraId="085429FE" w14:textId="77777777" w:rsidR="00C42CEA" w:rsidRPr="00665917" w:rsidRDefault="00C42CEA" w:rsidP="00C42CEA"/>
    <w:p w14:paraId="085429FF" w14:textId="77777777" w:rsidR="00C42CEA" w:rsidRPr="00665917" w:rsidRDefault="00C42CEA" w:rsidP="00C42CEA">
      <w:pPr>
        <w:rPr>
          <w:b/>
        </w:rPr>
      </w:pPr>
      <w:bookmarkStart w:id="2" w:name="_Toc251669724"/>
    </w:p>
    <w:p w14:paraId="08542A00" w14:textId="77777777" w:rsidR="00C42CEA" w:rsidRPr="00665917" w:rsidRDefault="00C42CEA" w:rsidP="00C42CEA">
      <w:pPr>
        <w:rPr>
          <w:b/>
          <w:sz w:val="22"/>
        </w:rPr>
      </w:pPr>
      <w:r w:rsidRPr="00665917">
        <w:rPr>
          <w:b/>
          <w:sz w:val="22"/>
        </w:rPr>
        <w:t>Moyen de transport et documents</w:t>
      </w:r>
      <w:bookmarkEnd w:id="2"/>
    </w:p>
    <w:p w14:paraId="08542A01" w14:textId="77777777" w:rsidR="00C42CEA" w:rsidRPr="00665917" w:rsidRDefault="00C42CEA" w:rsidP="00C42C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5043"/>
      </w:tblGrid>
      <w:tr w:rsidR="00C42CEA" w:rsidRPr="00665917" w14:paraId="08542A04" w14:textId="77777777" w:rsidTr="007660C0">
        <w:tc>
          <w:tcPr>
            <w:tcW w:w="4536" w:type="dxa"/>
            <w:tcBorders>
              <w:bottom w:val="single" w:sz="4" w:space="0" w:color="auto"/>
            </w:tcBorders>
            <w:shd w:val="clear" w:color="auto" w:fill="BFBFBF" w:themeFill="background1" w:themeFillShade="BF"/>
          </w:tcPr>
          <w:p w14:paraId="08542A02" w14:textId="77777777" w:rsidR="00C42CEA" w:rsidRPr="00665917" w:rsidRDefault="00C42CEA" w:rsidP="007660C0">
            <w:pPr>
              <w:rPr>
                <w:b/>
                <w:sz w:val="20"/>
                <w:szCs w:val="20"/>
              </w:rPr>
            </w:pPr>
            <w:r w:rsidRPr="00665917">
              <w:rPr>
                <w:b/>
                <w:sz w:val="20"/>
              </w:rPr>
              <w:t>Mode de transport</w:t>
            </w:r>
          </w:p>
        </w:tc>
        <w:tc>
          <w:tcPr>
            <w:tcW w:w="5103" w:type="dxa"/>
            <w:tcBorders>
              <w:bottom w:val="single" w:sz="4" w:space="0" w:color="auto"/>
            </w:tcBorders>
            <w:shd w:val="clear" w:color="auto" w:fill="BFBFBF" w:themeFill="background1" w:themeFillShade="BF"/>
          </w:tcPr>
          <w:p w14:paraId="08542A03" w14:textId="77777777" w:rsidR="00C42CEA" w:rsidRPr="00665917" w:rsidRDefault="00C42CEA" w:rsidP="007660C0">
            <w:pPr>
              <w:rPr>
                <w:b/>
                <w:sz w:val="20"/>
                <w:szCs w:val="20"/>
              </w:rPr>
            </w:pPr>
            <w:r w:rsidRPr="00665917">
              <w:rPr>
                <w:b/>
                <w:sz w:val="20"/>
              </w:rPr>
              <w:t>Document d'expédition émis par le transporteur</w:t>
            </w:r>
          </w:p>
        </w:tc>
      </w:tr>
      <w:tr w:rsidR="00C42CEA" w:rsidRPr="00665917" w14:paraId="08542A07" w14:textId="77777777" w:rsidTr="007660C0">
        <w:tc>
          <w:tcPr>
            <w:tcW w:w="4536" w:type="dxa"/>
            <w:shd w:val="clear" w:color="auto" w:fill="auto"/>
          </w:tcPr>
          <w:p w14:paraId="08542A05" w14:textId="77777777" w:rsidR="00C42CEA" w:rsidRPr="00665917" w:rsidRDefault="00C42CEA" w:rsidP="007660C0">
            <w:pPr>
              <w:rPr>
                <w:sz w:val="20"/>
                <w:szCs w:val="20"/>
              </w:rPr>
            </w:pPr>
            <w:r w:rsidRPr="00665917">
              <w:rPr>
                <w:sz w:val="20"/>
              </w:rPr>
              <w:t>Fret maritime</w:t>
            </w:r>
          </w:p>
        </w:tc>
        <w:tc>
          <w:tcPr>
            <w:tcW w:w="5103" w:type="dxa"/>
            <w:shd w:val="clear" w:color="auto" w:fill="auto"/>
          </w:tcPr>
          <w:p w14:paraId="08542A06" w14:textId="77777777" w:rsidR="00C42CEA" w:rsidRPr="00665917" w:rsidRDefault="00C42CEA" w:rsidP="007660C0">
            <w:pPr>
              <w:rPr>
                <w:sz w:val="20"/>
                <w:szCs w:val="20"/>
              </w:rPr>
            </w:pPr>
            <w:r w:rsidRPr="00665917">
              <w:rPr>
                <w:sz w:val="20"/>
              </w:rPr>
              <w:t>Connaissement (B/L)</w:t>
            </w:r>
          </w:p>
        </w:tc>
      </w:tr>
      <w:tr w:rsidR="00C42CEA" w:rsidRPr="00665917" w14:paraId="08542A0A" w14:textId="77777777" w:rsidTr="007660C0">
        <w:tc>
          <w:tcPr>
            <w:tcW w:w="4536" w:type="dxa"/>
            <w:shd w:val="clear" w:color="auto" w:fill="auto"/>
          </w:tcPr>
          <w:p w14:paraId="08542A08" w14:textId="77777777" w:rsidR="00C42CEA" w:rsidRPr="00665917" w:rsidRDefault="00C42CEA" w:rsidP="007660C0">
            <w:pPr>
              <w:rPr>
                <w:sz w:val="20"/>
                <w:szCs w:val="20"/>
              </w:rPr>
            </w:pPr>
            <w:r w:rsidRPr="00665917">
              <w:rPr>
                <w:sz w:val="20"/>
              </w:rPr>
              <w:t>Fret aérien</w:t>
            </w:r>
          </w:p>
        </w:tc>
        <w:tc>
          <w:tcPr>
            <w:tcW w:w="5103" w:type="dxa"/>
            <w:shd w:val="clear" w:color="auto" w:fill="auto"/>
          </w:tcPr>
          <w:p w14:paraId="08542A09" w14:textId="77777777" w:rsidR="00C42CEA" w:rsidRPr="00665917" w:rsidRDefault="00C42CEA" w:rsidP="007660C0">
            <w:pPr>
              <w:rPr>
                <w:sz w:val="20"/>
                <w:szCs w:val="20"/>
              </w:rPr>
            </w:pPr>
            <w:r w:rsidRPr="00665917">
              <w:rPr>
                <w:sz w:val="20"/>
              </w:rPr>
              <w:t>Connaissement aérien (AWB)</w:t>
            </w:r>
          </w:p>
        </w:tc>
      </w:tr>
      <w:tr w:rsidR="00C42CEA" w:rsidRPr="00665917" w14:paraId="08542A0D" w14:textId="77777777" w:rsidTr="007660C0">
        <w:tc>
          <w:tcPr>
            <w:tcW w:w="4536" w:type="dxa"/>
            <w:shd w:val="clear" w:color="auto" w:fill="auto"/>
          </w:tcPr>
          <w:p w14:paraId="08542A0B" w14:textId="77777777" w:rsidR="00C42CEA" w:rsidRPr="00665917" w:rsidRDefault="00C42CEA" w:rsidP="007660C0">
            <w:pPr>
              <w:rPr>
                <w:sz w:val="20"/>
                <w:szCs w:val="20"/>
              </w:rPr>
            </w:pPr>
            <w:r w:rsidRPr="00665917">
              <w:rPr>
                <w:sz w:val="20"/>
              </w:rPr>
              <w:t>Transport routier</w:t>
            </w:r>
          </w:p>
        </w:tc>
        <w:tc>
          <w:tcPr>
            <w:tcW w:w="5103" w:type="dxa"/>
            <w:shd w:val="clear" w:color="auto" w:fill="auto"/>
          </w:tcPr>
          <w:p w14:paraId="08542A0C" w14:textId="77777777" w:rsidR="00C42CEA" w:rsidRPr="00665917" w:rsidRDefault="00C42CEA" w:rsidP="007660C0">
            <w:pPr>
              <w:rPr>
                <w:sz w:val="20"/>
                <w:szCs w:val="20"/>
              </w:rPr>
            </w:pPr>
            <w:r w:rsidRPr="00665917">
              <w:rPr>
                <w:sz w:val="20"/>
              </w:rPr>
              <w:t>Lettre de voiture CMR</w:t>
            </w:r>
          </w:p>
        </w:tc>
      </w:tr>
      <w:tr w:rsidR="00C42CEA" w:rsidRPr="00665917" w14:paraId="08542A10" w14:textId="77777777" w:rsidTr="007660C0">
        <w:tc>
          <w:tcPr>
            <w:tcW w:w="4536" w:type="dxa"/>
            <w:shd w:val="clear" w:color="auto" w:fill="auto"/>
          </w:tcPr>
          <w:p w14:paraId="08542A0E" w14:textId="77777777" w:rsidR="00C42CEA" w:rsidRPr="00665917" w:rsidRDefault="00C42CEA" w:rsidP="007660C0">
            <w:pPr>
              <w:rPr>
                <w:sz w:val="20"/>
                <w:szCs w:val="20"/>
              </w:rPr>
            </w:pPr>
            <w:r w:rsidRPr="00665917">
              <w:rPr>
                <w:sz w:val="20"/>
              </w:rPr>
              <w:t xml:space="preserve">Chemin de fer </w:t>
            </w:r>
          </w:p>
        </w:tc>
        <w:tc>
          <w:tcPr>
            <w:tcW w:w="5103" w:type="dxa"/>
            <w:shd w:val="clear" w:color="auto" w:fill="auto"/>
          </w:tcPr>
          <w:p w14:paraId="08542A0F" w14:textId="77777777" w:rsidR="00C42CEA" w:rsidRPr="00665917" w:rsidRDefault="00C42CEA" w:rsidP="007660C0">
            <w:pPr>
              <w:rPr>
                <w:sz w:val="20"/>
                <w:szCs w:val="20"/>
              </w:rPr>
            </w:pPr>
            <w:r w:rsidRPr="00665917">
              <w:rPr>
                <w:sz w:val="20"/>
              </w:rPr>
              <w:t>Lettre de voiture ferroviaire</w:t>
            </w:r>
          </w:p>
        </w:tc>
      </w:tr>
      <w:tr w:rsidR="00C42CEA" w:rsidRPr="00665917" w14:paraId="08542A13" w14:textId="77777777" w:rsidTr="007660C0">
        <w:tc>
          <w:tcPr>
            <w:tcW w:w="4536" w:type="dxa"/>
            <w:shd w:val="clear" w:color="auto" w:fill="auto"/>
          </w:tcPr>
          <w:p w14:paraId="08542A11" w14:textId="77777777" w:rsidR="00C42CEA" w:rsidRPr="00665917" w:rsidRDefault="00C42CEA" w:rsidP="007660C0">
            <w:pPr>
              <w:rPr>
                <w:sz w:val="20"/>
                <w:szCs w:val="20"/>
              </w:rPr>
            </w:pPr>
            <w:r w:rsidRPr="00665917">
              <w:rPr>
                <w:sz w:val="20"/>
              </w:rPr>
              <w:t>Transport combiné</w:t>
            </w:r>
          </w:p>
        </w:tc>
        <w:tc>
          <w:tcPr>
            <w:tcW w:w="5103" w:type="dxa"/>
            <w:shd w:val="clear" w:color="auto" w:fill="auto"/>
          </w:tcPr>
          <w:p w14:paraId="08542A12" w14:textId="77777777" w:rsidR="00C42CEA" w:rsidRPr="00665917" w:rsidRDefault="00C42CEA" w:rsidP="007660C0">
            <w:pPr>
              <w:rPr>
                <w:sz w:val="20"/>
                <w:szCs w:val="20"/>
              </w:rPr>
            </w:pPr>
            <w:r w:rsidRPr="00665917">
              <w:rPr>
                <w:sz w:val="20"/>
              </w:rPr>
              <w:t>Connaissement combiné</w:t>
            </w:r>
          </w:p>
        </w:tc>
      </w:tr>
    </w:tbl>
    <w:p w14:paraId="08542A14" w14:textId="77777777" w:rsidR="00C42CEA" w:rsidRPr="00665917" w:rsidRDefault="00C42CEA" w:rsidP="00C42CEA">
      <w:pPr>
        <w:rPr>
          <w:sz w:val="20"/>
          <w:szCs w:val="20"/>
        </w:rPr>
      </w:pPr>
    </w:p>
    <w:p w14:paraId="08542A15" w14:textId="77777777" w:rsidR="00C42CEA" w:rsidRPr="00665917" w:rsidRDefault="00C42CEA" w:rsidP="00C42CEA">
      <w:pPr>
        <w:rPr>
          <w:b/>
          <w:sz w:val="20"/>
          <w:szCs w:val="20"/>
        </w:rPr>
      </w:pPr>
      <w:r w:rsidRPr="00665917">
        <w:rPr>
          <w:b/>
          <w:sz w:val="20"/>
        </w:rPr>
        <w:t>Connaissement</w:t>
      </w:r>
    </w:p>
    <w:p w14:paraId="08542A16" w14:textId="77777777" w:rsidR="00C42CEA" w:rsidRPr="00665917" w:rsidRDefault="00C42CEA" w:rsidP="00C42CEA">
      <w:pPr>
        <w:rPr>
          <w:sz w:val="20"/>
          <w:szCs w:val="20"/>
        </w:rPr>
      </w:pPr>
      <w:r w:rsidRPr="00665917">
        <w:rPr>
          <w:sz w:val="20"/>
        </w:rPr>
        <w:t>Un connaissement (B/L) est un contrat entre le propriétaire des marchandises et le transporteur. Il existe deux types de connaissement. Un connaissement nominatif n'est pas négociable. Un connaissement émis par l'expéditeur peut être acheté, vendu ou échangé pendant que les produits sont en transit et est utilisé pour de nombreux types d'opérations de financement. Le client a besoin de l'original comme preuve de propriété pour prendre possession des marchandises. Ainsi, il est important que tous les originaux soient conservés dans un endroit sûr.</w:t>
      </w:r>
    </w:p>
    <w:p w14:paraId="08542A17" w14:textId="77777777" w:rsidR="00C42CEA" w:rsidRPr="00665917" w:rsidRDefault="00C42CEA" w:rsidP="00C42CEA">
      <w:pPr>
        <w:rPr>
          <w:sz w:val="20"/>
          <w:szCs w:val="20"/>
        </w:rPr>
      </w:pPr>
    </w:p>
    <w:p w14:paraId="08542A18" w14:textId="77777777" w:rsidR="00C42CEA" w:rsidRPr="00665917" w:rsidRDefault="00C42CEA" w:rsidP="00C42CEA">
      <w:pPr>
        <w:rPr>
          <w:b/>
          <w:sz w:val="20"/>
          <w:szCs w:val="20"/>
        </w:rPr>
      </w:pPr>
      <w:r w:rsidRPr="00665917">
        <w:rPr>
          <w:b/>
          <w:sz w:val="20"/>
        </w:rPr>
        <w:t>Connaissement aérien</w:t>
      </w:r>
    </w:p>
    <w:p w14:paraId="08542A19" w14:textId="506170F3" w:rsidR="00C42CEA" w:rsidRPr="00665917" w:rsidRDefault="00C42CEA" w:rsidP="00C42CEA">
      <w:pPr>
        <w:rPr>
          <w:sz w:val="20"/>
          <w:szCs w:val="20"/>
        </w:rPr>
      </w:pPr>
      <w:r w:rsidRPr="00665917">
        <w:rPr>
          <w:sz w:val="20"/>
        </w:rPr>
        <w:t>Un connaissement aérien est un connaissement qui couvre à la fois les vols intérieurs et internationaux transportant des marchandise</w:t>
      </w:r>
      <w:r w:rsidR="0036669E" w:rsidRPr="00665917">
        <w:rPr>
          <w:sz w:val="20"/>
        </w:rPr>
        <w:t>s vers une destination spécifique</w:t>
      </w:r>
      <w:r w:rsidRPr="00665917">
        <w:rPr>
          <w:sz w:val="20"/>
        </w:rPr>
        <w:t>. Techniquement, il s'agit d'un document non négociable de transport aérien qui fait office de reçu pour l'expéditeur et indique que le transporteur a accepté les marchandises qui y sont énumérées et s'oblige à effectuer l'envoi vers l'aéroport de destination en fonction des conditions spécifiées. Normalement, un connaissement aérien fait référence à la facture émise par les compagnies aériennes et est égalemen</w:t>
      </w:r>
      <w:r w:rsidR="0036669E" w:rsidRPr="00665917">
        <w:rPr>
          <w:sz w:val="20"/>
        </w:rPr>
        <w:t>t appelé connaissement aérien « </w:t>
      </w:r>
      <w:r w:rsidRPr="00665917">
        <w:rPr>
          <w:sz w:val="20"/>
        </w:rPr>
        <w:t>Master</w:t>
      </w:r>
      <w:r w:rsidR="0036669E" w:rsidRPr="00665917">
        <w:rPr>
          <w:sz w:val="20"/>
        </w:rPr>
        <w:t> »</w:t>
      </w:r>
      <w:r w:rsidRPr="00665917">
        <w:rPr>
          <w:sz w:val="20"/>
        </w:rPr>
        <w:t xml:space="preserve"> (MAWB). Le MAWB contient trois chiffres de codes d'identification aérienne numériques. Les transitaires de fret aérien émettent également des connaissements aériens «</w:t>
      </w:r>
      <w:r w:rsidR="0036669E" w:rsidRPr="00665917">
        <w:rPr>
          <w:sz w:val="20"/>
        </w:rPr>
        <w:t> </w:t>
      </w:r>
      <w:r w:rsidRPr="00665917">
        <w:rPr>
          <w:sz w:val="20"/>
        </w:rPr>
        <w:t>House</w:t>
      </w:r>
      <w:r w:rsidR="0036669E" w:rsidRPr="00665917">
        <w:rPr>
          <w:sz w:val="20"/>
        </w:rPr>
        <w:t> »</w:t>
      </w:r>
      <w:r w:rsidRPr="00665917">
        <w:rPr>
          <w:sz w:val="20"/>
        </w:rPr>
        <w:t xml:space="preserve"> (HAWB) pour leurs clients à chaque expédition.</w:t>
      </w:r>
      <w:r w:rsidR="0036669E" w:rsidRPr="00665917">
        <w:rPr>
          <w:sz w:val="20"/>
        </w:rPr>
        <w:t xml:space="preserve"> </w:t>
      </w:r>
    </w:p>
    <w:p w14:paraId="08542A1A" w14:textId="77777777" w:rsidR="00C42CEA" w:rsidRPr="00665917" w:rsidRDefault="00C42CEA" w:rsidP="00C42CEA">
      <w:pPr>
        <w:rPr>
          <w:sz w:val="20"/>
          <w:szCs w:val="20"/>
        </w:rPr>
      </w:pPr>
    </w:p>
    <w:p w14:paraId="08542A1B" w14:textId="77777777" w:rsidR="00C42CEA" w:rsidRPr="00665917" w:rsidRDefault="00C42CEA" w:rsidP="00C42CEA">
      <w:pPr>
        <w:rPr>
          <w:b/>
          <w:sz w:val="20"/>
          <w:szCs w:val="20"/>
        </w:rPr>
      </w:pPr>
      <w:r w:rsidRPr="00665917">
        <w:rPr>
          <w:b/>
          <w:sz w:val="20"/>
        </w:rPr>
        <w:t>Lettre de voiture ferroviaire</w:t>
      </w:r>
    </w:p>
    <w:p w14:paraId="08542A1C" w14:textId="77777777" w:rsidR="00C42CEA" w:rsidRPr="00665917" w:rsidRDefault="00C42CEA" w:rsidP="00C42CEA">
      <w:pPr>
        <w:rPr>
          <w:sz w:val="20"/>
          <w:szCs w:val="20"/>
        </w:rPr>
      </w:pPr>
      <w:r w:rsidRPr="00665917">
        <w:rPr>
          <w:sz w:val="20"/>
        </w:rPr>
        <w:t xml:space="preserve">Une lettre de voiture ferroviaire est un document de transport qui indique si les marchandises ont été reçues pour l'expédition par chemin de fer. Un duplicata est donné à l'expéditeur en tant que reçu pour l'acceptation des marchandises. Le chemin de fer est utilisé principalement dans le cadre du transport combiné, auquel cas le document de fret est un connaissement combiné </w:t>
      </w:r>
    </w:p>
    <w:p w14:paraId="08542A1D" w14:textId="77777777" w:rsidR="00C42CEA" w:rsidRPr="00665917" w:rsidRDefault="00C42CEA" w:rsidP="00C42CEA">
      <w:pPr>
        <w:rPr>
          <w:sz w:val="20"/>
          <w:szCs w:val="20"/>
        </w:rPr>
      </w:pPr>
    </w:p>
    <w:p w14:paraId="08542A1E" w14:textId="77777777" w:rsidR="00C42CEA" w:rsidRPr="00665917" w:rsidRDefault="00C42CEA" w:rsidP="00C42CEA">
      <w:pPr>
        <w:rPr>
          <w:b/>
          <w:sz w:val="20"/>
          <w:szCs w:val="20"/>
        </w:rPr>
      </w:pPr>
      <w:r w:rsidRPr="00665917">
        <w:rPr>
          <w:b/>
          <w:sz w:val="20"/>
        </w:rPr>
        <w:t xml:space="preserve">CMR </w:t>
      </w:r>
    </w:p>
    <w:p w14:paraId="08542A1F" w14:textId="301E83B1" w:rsidR="00C42CEA" w:rsidRPr="00665917" w:rsidRDefault="00C42CEA" w:rsidP="00C42CEA">
      <w:pPr>
        <w:rPr>
          <w:sz w:val="20"/>
          <w:szCs w:val="20"/>
        </w:rPr>
      </w:pPr>
      <w:r w:rsidRPr="00665917">
        <w:rPr>
          <w:sz w:val="20"/>
        </w:rPr>
        <w:t>CMR est l'abréviation de «</w:t>
      </w:r>
      <w:r w:rsidR="0036669E" w:rsidRPr="00665917">
        <w:rPr>
          <w:sz w:val="20"/>
        </w:rPr>
        <w:t> </w:t>
      </w:r>
      <w:r w:rsidRPr="00665917">
        <w:rPr>
          <w:sz w:val="20"/>
        </w:rPr>
        <w:t>Convention sur l'accord concernant les transports routiers internationaux de marchandises</w:t>
      </w:r>
      <w:r w:rsidR="0036669E" w:rsidRPr="00665917">
        <w:rPr>
          <w:sz w:val="20"/>
        </w:rPr>
        <w:t> »</w:t>
      </w:r>
      <w:r w:rsidRPr="00665917">
        <w:rPr>
          <w:sz w:val="20"/>
        </w:rPr>
        <w:t xml:space="preserve">. La lettre de voiture CMR est utilisée pour le transport routier international. </w:t>
      </w:r>
    </w:p>
    <w:p w14:paraId="08542A20" w14:textId="77777777" w:rsidR="00C42CEA" w:rsidRPr="00665917" w:rsidRDefault="00C42CEA" w:rsidP="00C42CEA"/>
    <w:p w14:paraId="08542A21" w14:textId="010A8460" w:rsidR="00C42CEA" w:rsidRPr="00665917" w:rsidRDefault="00C42CEA" w:rsidP="00C42CEA">
      <w:pPr>
        <w:rPr>
          <w:b/>
          <w:sz w:val="20"/>
          <w:szCs w:val="20"/>
        </w:rPr>
      </w:pPr>
      <w:r w:rsidRPr="00665917">
        <w:rPr>
          <w:b/>
          <w:sz w:val="20"/>
        </w:rPr>
        <w:t>Connaissement combiné</w:t>
      </w:r>
      <w:r w:rsidR="0036669E" w:rsidRPr="00665917">
        <w:rPr>
          <w:b/>
          <w:sz w:val="20"/>
        </w:rPr>
        <w:t> :</w:t>
      </w:r>
    </w:p>
    <w:p w14:paraId="08542A22" w14:textId="67FDD78B" w:rsidR="00C42CEA" w:rsidRPr="00665917" w:rsidRDefault="0036669E" w:rsidP="00C42CEA">
      <w:pPr>
        <w:jc w:val="left"/>
        <w:rPr>
          <w:sz w:val="20"/>
          <w:szCs w:val="20"/>
        </w:rPr>
      </w:pPr>
      <w:r w:rsidRPr="00665917">
        <w:rPr>
          <w:sz w:val="20"/>
        </w:rPr>
        <w:t>I</w:t>
      </w:r>
      <w:r w:rsidR="00C42CEA" w:rsidRPr="00665917">
        <w:rPr>
          <w:sz w:val="20"/>
        </w:rPr>
        <w:t xml:space="preserve">l s'agit du transport de marchandises par au moins deux modes de transport différents d'un lieu où les marchandises sont prises en charge jusqu'au lieu de livraison désigné. </w:t>
      </w:r>
      <w:r w:rsidR="00C42CEA" w:rsidRPr="00665917">
        <w:rPr>
          <w:sz w:val="20"/>
          <w:szCs w:val="20"/>
        </w:rPr>
        <w:br/>
      </w:r>
      <w:r w:rsidR="00C42CEA" w:rsidRPr="00665917">
        <w:rPr>
          <w:sz w:val="20"/>
          <w:szCs w:val="20"/>
        </w:rPr>
        <w:br/>
      </w:r>
      <w:r w:rsidR="00C42CEA" w:rsidRPr="00665917">
        <w:rPr>
          <w:sz w:val="20"/>
        </w:rPr>
        <w:t>Il peut s'agir d'une combinaison de transport routier, ferroviaire, fluvial, maritime ou aérien. À cet égard, le connaissement est délivré pour couvrir la totalité du trajet et est appelé «</w:t>
      </w:r>
      <w:r w:rsidRPr="00665917">
        <w:rPr>
          <w:sz w:val="20"/>
        </w:rPr>
        <w:t> </w:t>
      </w:r>
      <w:r w:rsidR="00C42CEA" w:rsidRPr="00665917">
        <w:rPr>
          <w:sz w:val="20"/>
        </w:rPr>
        <w:t>connaissement combiné</w:t>
      </w:r>
      <w:r w:rsidRPr="00665917">
        <w:rPr>
          <w:sz w:val="20"/>
        </w:rPr>
        <w:t> »</w:t>
      </w:r>
      <w:r w:rsidR="00C42CEA" w:rsidRPr="00665917">
        <w:rPr>
          <w:sz w:val="20"/>
        </w:rPr>
        <w:t>.</w:t>
      </w:r>
    </w:p>
    <w:p w14:paraId="08542A24" w14:textId="77777777" w:rsidR="00C42CEA" w:rsidRPr="00665917" w:rsidRDefault="00C42CEA" w:rsidP="00C42CEA">
      <w:pPr>
        <w:jc w:val="left"/>
        <w:rPr>
          <w:rFonts w:cs="Arial"/>
          <w:b/>
          <w:sz w:val="20"/>
          <w:szCs w:val="20"/>
        </w:rPr>
      </w:pPr>
      <w:r w:rsidRPr="00665917">
        <w:rPr>
          <w:b/>
          <w:sz w:val="20"/>
        </w:rPr>
        <w:t>Poids, volume et dimensions des conteneurs</w:t>
      </w:r>
    </w:p>
    <w:p w14:paraId="08542A25" w14:textId="06C61495" w:rsidR="00C42CEA" w:rsidRPr="00665917" w:rsidRDefault="00C42CEA" w:rsidP="00C42CEA">
      <w:pPr>
        <w:jc w:val="left"/>
        <w:rPr>
          <w:rFonts w:cs="Arial"/>
          <w:sz w:val="20"/>
          <w:szCs w:val="20"/>
        </w:rPr>
      </w:pPr>
      <w:r w:rsidRPr="00665917">
        <w:rPr>
          <w:sz w:val="20"/>
        </w:rPr>
        <w:t>Selon le mode de transport, le poids est calculé conformément aux normes internationales suivantes</w:t>
      </w:r>
      <w:r w:rsidR="0036669E" w:rsidRPr="00665917">
        <w:rPr>
          <w:sz w:val="20"/>
        </w:rPr>
        <w:t> :</w:t>
      </w:r>
    </w:p>
    <w:p w14:paraId="08542A26" w14:textId="77777777" w:rsidR="00C42CEA" w:rsidRPr="00665917" w:rsidRDefault="00C42CEA" w:rsidP="00C42CEA">
      <w:pPr>
        <w:jc w:val="left"/>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53"/>
        <w:gridCol w:w="975"/>
        <w:gridCol w:w="1061"/>
        <w:gridCol w:w="4223"/>
      </w:tblGrid>
      <w:tr w:rsidR="00C42CEA" w:rsidRPr="00665917" w14:paraId="08542A2C" w14:textId="77777777" w:rsidTr="007660C0">
        <w:tc>
          <w:tcPr>
            <w:tcW w:w="1998" w:type="dxa"/>
            <w:tcBorders>
              <w:bottom w:val="single" w:sz="4" w:space="0" w:color="auto"/>
            </w:tcBorders>
            <w:shd w:val="clear" w:color="auto" w:fill="BFBFBF" w:themeFill="background1" w:themeFillShade="BF"/>
          </w:tcPr>
          <w:p w14:paraId="08542A27" w14:textId="77777777" w:rsidR="00C42CEA" w:rsidRPr="00665917" w:rsidRDefault="00C42CEA" w:rsidP="007660C0">
            <w:pPr>
              <w:jc w:val="left"/>
              <w:rPr>
                <w:rFonts w:cs="Arial"/>
                <w:b/>
                <w:sz w:val="20"/>
                <w:szCs w:val="20"/>
              </w:rPr>
            </w:pPr>
            <w:r w:rsidRPr="00665917">
              <w:rPr>
                <w:b/>
                <w:sz w:val="20"/>
              </w:rPr>
              <w:t>Mode de transport</w:t>
            </w:r>
          </w:p>
        </w:tc>
        <w:tc>
          <w:tcPr>
            <w:tcW w:w="1402" w:type="dxa"/>
            <w:tcBorders>
              <w:bottom w:val="single" w:sz="4" w:space="0" w:color="auto"/>
            </w:tcBorders>
            <w:shd w:val="clear" w:color="auto" w:fill="BFBFBF" w:themeFill="background1" w:themeFillShade="BF"/>
          </w:tcPr>
          <w:p w14:paraId="08542A28" w14:textId="77777777" w:rsidR="00C42CEA" w:rsidRPr="00665917" w:rsidRDefault="00C42CEA" w:rsidP="007660C0">
            <w:pPr>
              <w:jc w:val="left"/>
              <w:rPr>
                <w:rFonts w:cs="Arial"/>
                <w:b/>
                <w:sz w:val="20"/>
                <w:szCs w:val="20"/>
              </w:rPr>
            </w:pPr>
            <w:r w:rsidRPr="00665917">
              <w:rPr>
                <w:b/>
                <w:sz w:val="20"/>
              </w:rPr>
              <w:t>Facteur en suspens</w:t>
            </w:r>
          </w:p>
        </w:tc>
        <w:tc>
          <w:tcPr>
            <w:tcW w:w="1010" w:type="dxa"/>
            <w:tcBorders>
              <w:bottom w:val="single" w:sz="4" w:space="0" w:color="auto"/>
            </w:tcBorders>
            <w:shd w:val="clear" w:color="auto" w:fill="BFBFBF" w:themeFill="background1" w:themeFillShade="BF"/>
          </w:tcPr>
          <w:p w14:paraId="08542A29" w14:textId="77777777" w:rsidR="00C42CEA" w:rsidRPr="00665917" w:rsidRDefault="00C42CEA" w:rsidP="007660C0">
            <w:pPr>
              <w:jc w:val="left"/>
              <w:rPr>
                <w:rFonts w:cs="Arial"/>
                <w:b/>
                <w:sz w:val="20"/>
                <w:szCs w:val="20"/>
              </w:rPr>
            </w:pPr>
            <w:r w:rsidRPr="00665917">
              <w:rPr>
                <w:b/>
                <w:sz w:val="20"/>
              </w:rPr>
              <w:t>CBM</w:t>
            </w:r>
            <w:r w:rsidRPr="00665917">
              <w:rPr>
                <w:b/>
                <w:sz w:val="20"/>
                <w:vertAlign w:val="superscript"/>
              </w:rPr>
              <w:footnoteReference w:id="1"/>
            </w:r>
          </w:p>
        </w:tc>
        <w:tc>
          <w:tcPr>
            <w:tcW w:w="693" w:type="dxa"/>
            <w:tcBorders>
              <w:bottom w:val="single" w:sz="4" w:space="0" w:color="auto"/>
            </w:tcBorders>
            <w:shd w:val="clear" w:color="auto" w:fill="BFBFBF" w:themeFill="background1" w:themeFillShade="BF"/>
          </w:tcPr>
          <w:p w14:paraId="08542A2A" w14:textId="77777777" w:rsidR="00C42CEA" w:rsidRPr="00665917" w:rsidRDefault="00C42CEA" w:rsidP="007660C0">
            <w:pPr>
              <w:jc w:val="left"/>
              <w:rPr>
                <w:rFonts w:cs="Arial"/>
                <w:b/>
                <w:sz w:val="20"/>
                <w:szCs w:val="20"/>
              </w:rPr>
            </w:pPr>
            <w:r w:rsidRPr="00665917">
              <w:rPr>
                <w:b/>
                <w:sz w:val="20"/>
              </w:rPr>
              <w:t>Équivaut à</w:t>
            </w:r>
          </w:p>
        </w:tc>
        <w:tc>
          <w:tcPr>
            <w:tcW w:w="4643" w:type="dxa"/>
            <w:tcBorders>
              <w:bottom w:val="single" w:sz="4" w:space="0" w:color="auto"/>
            </w:tcBorders>
            <w:shd w:val="clear" w:color="auto" w:fill="BFBFBF" w:themeFill="background1" w:themeFillShade="BF"/>
          </w:tcPr>
          <w:p w14:paraId="08542A2B" w14:textId="77777777" w:rsidR="00C42CEA" w:rsidRPr="00665917" w:rsidRDefault="00C42CEA" w:rsidP="007660C0">
            <w:pPr>
              <w:jc w:val="left"/>
              <w:rPr>
                <w:rFonts w:cs="Arial"/>
                <w:b/>
                <w:sz w:val="20"/>
                <w:szCs w:val="20"/>
              </w:rPr>
            </w:pPr>
            <w:r w:rsidRPr="00665917">
              <w:rPr>
                <w:b/>
                <w:sz w:val="20"/>
              </w:rPr>
              <w:t>KGS</w:t>
            </w:r>
          </w:p>
        </w:tc>
      </w:tr>
      <w:tr w:rsidR="00C42CEA" w:rsidRPr="00665917" w14:paraId="08542A32" w14:textId="77777777" w:rsidTr="007660C0">
        <w:tc>
          <w:tcPr>
            <w:tcW w:w="1998" w:type="dxa"/>
            <w:shd w:val="clear" w:color="auto" w:fill="auto"/>
          </w:tcPr>
          <w:p w14:paraId="08542A2D" w14:textId="77777777" w:rsidR="00C42CEA" w:rsidRPr="00665917" w:rsidRDefault="00C42CEA" w:rsidP="007660C0">
            <w:pPr>
              <w:jc w:val="left"/>
              <w:rPr>
                <w:rFonts w:cs="Arial"/>
                <w:sz w:val="20"/>
                <w:szCs w:val="20"/>
              </w:rPr>
            </w:pPr>
            <w:r w:rsidRPr="00665917">
              <w:rPr>
                <w:sz w:val="20"/>
              </w:rPr>
              <w:t xml:space="preserve">Fret aérien </w:t>
            </w:r>
          </w:p>
        </w:tc>
        <w:tc>
          <w:tcPr>
            <w:tcW w:w="1402" w:type="dxa"/>
            <w:shd w:val="clear" w:color="auto" w:fill="auto"/>
          </w:tcPr>
          <w:p w14:paraId="08542A2E" w14:textId="77777777" w:rsidR="00C42CEA" w:rsidRPr="00665917" w:rsidRDefault="00C42CEA" w:rsidP="007660C0">
            <w:pPr>
              <w:jc w:val="left"/>
              <w:rPr>
                <w:rFonts w:cs="Arial"/>
                <w:sz w:val="20"/>
                <w:szCs w:val="20"/>
              </w:rPr>
            </w:pPr>
            <w:r w:rsidRPr="00665917">
              <w:rPr>
                <w:sz w:val="20"/>
              </w:rPr>
              <w:t>KG</w:t>
            </w:r>
          </w:p>
        </w:tc>
        <w:tc>
          <w:tcPr>
            <w:tcW w:w="1010" w:type="dxa"/>
            <w:shd w:val="clear" w:color="auto" w:fill="auto"/>
          </w:tcPr>
          <w:p w14:paraId="08542A2F" w14:textId="77777777" w:rsidR="00C42CEA" w:rsidRPr="00665917" w:rsidRDefault="00C42CEA" w:rsidP="007660C0">
            <w:pPr>
              <w:jc w:val="left"/>
              <w:rPr>
                <w:rFonts w:cs="Arial"/>
                <w:sz w:val="20"/>
                <w:szCs w:val="20"/>
              </w:rPr>
            </w:pPr>
            <w:r w:rsidRPr="00665917">
              <w:rPr>
                <w:sz w:val="20"/>
              </w:rPr>
              <w:t>1</w:t>
            </w:r>
          </w:p>
        </w:tc>
        <w:tc>
          <w:tcPr>
            <w:tcW w:w="693" w:type="dxa"/>
            <w:shd w:val="clear" w:color="auto" w:fill="auto"/>
          </w:tcPr>
          <w:p w14:paraId="08542A30" w14:textId="77777777" w:rsidR="00C42CEA" w:rsidRPr="00665917" w:rsidRDefault="00C42CEA" w:rsidP="007660C0">
            <w:pPr>
              <w:jc w:val="left"/>
              <w:rPr>
                <w:rFonts w:cs="Arial"/>
                <w:b/>
                <w:sz w:val="20"/>
                <w:szCs w:val="20"/>
              </w:rPr>
            </w:pPr>
            <w:r w:rsidRPr="00665917">
              <w:rPr>
                <w:b/>
                <w:sz w:val="20"/>
              </w:rPr>
              <w:t>←</w:t>
            </w:r>
          </w:p>
        </w:tc>
        <w:tc>
          <w:tcPr>
            <w:tcW w:w="4643" w:type="dxa"/>
            <w:shd w:val="clear" w:color="auto" w:fill="auto"/>
          </w:tcPr>
          <w:p w14:paraId="08542A31" w14:textId="77777777" w:rsidR="00C42CEA" w:rsidRPr="00665917" w:rsidRDefault="00C42CEA" w:rsidP="007660C0">
            <w:pPr>
              <w:jc w:val="left"/>
              <w:rPr>
                <w:rFonts w:cs="Arial"/>
                <w:sz w:val="20"/>
                <w:szCs w:val="20"/>
              </w:rPr>
            </w:pPr>
            <w:r w:rsidRPr="00665917">
              <w:rPr>
                <w:sz w:val="20"/>
              </w:rPr>
              <w:t>167</w:t>
            </w:r>
          </w:p>
        </w:tc>
      </w:tr>
      <w:tr w:rsidR="00C42CEA" w:rsidRPr="00665917" w14:paraId="08542A38" w14:textId="77777777" w:rsidTr="007660C0">
        <w:tc>
          <w:tcPr>
            <w:tcW w:w="1998" w:type="dxa"/>
            <w:shd w:val="clear" w:color="auto" w:fill="auto"/>
          </w:tcPr>
          <w:p w14:paraId="08542A33" w14:textId="77777777" w:rsidR="00C42CEA" w:rsidRPr="00665917" w:rsidRDefault="00C42CEA" w:rsidP="007660C0">
            <w:pPr>
              <w:jc w:val="left"/>
              <w:rPr>
                <w:rFonts w:cs="Arial"/>
                <w:sz w:val="20"/>
                <w:szCs w:val="20"/>
              </w:rPr>
            </w:pPr>
            <w:r w:rsidRPr="00665917">
              <w:rPr>
                <w:sz w:val="20"/>
              </w:rPr>
              <w:t xml:space="preserve">Fret maritime </w:t>
            </w:r>
          </w:p>
        </w:tc>
        <w:tc>
          <w:tcPr>
            <w:tcW w:w="1402" w:type="dxa"/>
            <w:shd w:val="clear" w:color="auto" w:fill="auto"/>
          </w:tcPr>
          <w:p w14:paraId="08542A34" w14:textId="77777777" w:rsidR="00C42CEA" w:rsidRPr="00665917" w:rsidRDefault="00C42CEA" w:rsidP="007660C0">
            <w:pPr>
              <w:jc w:val="left"/>
              <w:rPr>
                <w:rFonts w:cs="Arial"/>
                <w:sz w:val="20"/>
                <w:szCs w:val="20"/>
              </w:rPr>
            </w:pPr>
            <w:r w:rsidRPr="00665917">
              <w:rPr>
                <w:sz w:val="20"/>
              </w:rPr>
              <w:t>CBM</w:t>
            </w:r>
          </w:p>
        </w:tc>
        <w:tc>
          <w:tcPr>
            <w:tcW w:w="1010" w:type="dxa"/>
            <w:shd w:val="clear" w:color="auto" w:fill="auto"/>
          </w:tcPr>
          <w:p w14:paraId="08542A35" w14:textId="77777777" w:rsidR="00C42CEA" w:rsidRPr="00665917" w:rsidRDefault="00C42CEA" w:rsidP="007660C0">
            <w:pPr>
              <w:jc w:val="left"/>
              <w:rPr>
                <w:rFonts w:cs="Arial"/>
                <w:sz w:val="20"/>
                <w:szCs w:val="20"/>
              </w:rPr>
            </w:pPr>
            <w:r w:rsidRPr="00665917">
              <w:rPr>
                <w:sz w:val="20"/>
              </w:rPr>
              <w:t>1</w:t>
            </w:r>
          </w:p>
        </w:tc>
        <w:tc>
          <w:tcPr>
            <w:tcW w:w="693" w:type="dxa"/>
            <w:shd w:val="clear" w:color="auto" w:fill="auto"/>
          </w:tcPr>
          <w:p w14:paraId="08542A36" w14:textId="77777777" w:rsidR="00C42CEA" w:rsidRPr="00665917" w:rsidRDefault="00C42CEA" w:rsidP="007660C0">
            <w:pPr>
              <w:jc w:val="left"/>
              <w:rPr>
                <w:rFonts w:cs="Arial"/>
                <w:sz w:val="20"/>
                <w:szCs w:val="20"/>
              </w:rPr>
            </w:pPr>
            <w:r w:rsidRPr="00665917">
              <w:rPr>
                <w:sz w:val="20"/>
              </w:rPr>
              <w:t>→</w:t>
            </w:r>
          </w:p>
        </w:tc>
        <w:tc>
          <w:tcPr>
            <w:tcW w:w="4643" w:type="dxa"/>
            <w:shd w:val="clear" w:color="auto" w:fill="auto"/>
          </w:tcPr>
          <w:p w14:paraId="08542A37" w14:textId="625727A2" w:rsidR="00C42CEA" w:rsidRPr="00665917" w:rsidRDefault="00C42CEA" w:rsidP="007660C0">
            <w:pPr>
              <w:jc w:val="left"/>
              <w:rPr>
                <w:rFonts w:cs="Arial"/>
                <w:sz w:val="20"/>
                <w:szCs w:val="20"/>
              </w:rPr>
            </w:pPr>
            <w:r w:rsidRPr="00665917">
              <w:rPr>
                <w:sz w:val="20"/>
              </w:rPr>
              <w:t>1</w:t>
            </w:r>
            <w:r w:rsidR="0036669E" w:rsidRPr="00665917">
              <w:rPr>
                <w:sz w:val="20"/>
              </w:rPr>
              <w:t xml:space="preserve"> </w:t>
            </w:r>
            <w:r w:rsidRPr="00665917">
              <w:rPr>
                <w:sz w:val="20"/>
              </w:rPr>
              <w:t>000</w:t>
            </w:r>
          </w:p>
        </w:tc>
      </w:tr>
      <w:tr w:rsidR="00C42CEA" w:rsidRPr="00665917" w14:paraId="08542A3E" w14:textId="77777777" w:rsidTr="007660C0">
        <w:tc>
          <w:tcPr>
            <w:tcW w:w="1998" w:type="dxa"/>
            <w:shd w:val="clear" w:color="auto" w:fill="auto"/>
          </w:tcPr>
          <w:p w14:paraId="08542A39" w14:textId="77777777" w:rsidR="00C42CEA" w:rsidRPr="00665917" w:rsidRDefault="00C42CEA" w:rsidP="007660C0">
            <w:pPr>
              <w:jc w:val="left"/>
              <w:rPr>
                <w:rFonts w:cs="Arial"/>
                <w:sz w:val="20"/>
                <w:szCs w:val="20"/>
              </w:rPr>
            </w:pPr>
            <w:r w:rsidRPr="00665917">
              <w:rPr>
                <w:sz w:val="20"/>
              </w:rPr>
              <w:t>Transport routier international</w:t>
            </w:r>
          </w:p>
        </w:tc>
        <w:tc>
          <w:tcPr>
            <w:tcW w:w="1402" w:type="dxa"/>
            <w:shd w:val="clear" w:color="auto" w:fill="auto"/>
          </w:tcPr>
          <w:p w14:paraId="08542A3A" w14:textId="77777777" w:rsidR="00C42CEA" w:rsidRPr="00665917" w:rsidRDefault="00C42CEA" w:rsidP="007660C0">
            <w:pPr>
              <w:jc w:val="left"/>
              <w:rPr>
                <w:rFonts w:cs="Arial"/>
                <w:sz w:val="20"/>
                <w:szCs w:val="20"/>
              </w:rPr>
            </w:pPr>
            <w:r w:rsidRPr="00665917">
              <w:rPr>
                <w:sz w:val="20"/>
              </w:rPr>
              <w:t>CBM</w:t>
            </w:r>
          </w:p>
        </w:tc>
        <w:tc>
          <w:tcPr>
            <w:tcW w:w="1010" w:type="dxa"/>
            <w:shd w:val="clear" w:color="auto" w:fill="auto"/>
          </w:tcPr>
          <w:p w14:paraId="08542A3B" w14:textId="77777777" w:rsidR="00C42CEA" w:rsidRPr="00665917" w:rsidRDefault="00C42CEA" w:rsidP="007660C0">
            <w:pPr>
              <w:jc w:val="left"/>
              <w:rPr>
                <w:rFonts w:cs="Arial"/>
                <w:sz w:val="20"/>
                <w:szCs w:val="20"/>
              </w:rPr>
            </w:pPr>
            <w:r w:rsidRPr="00665917">
              <w:rPr>
                <w:sz w:val="20"/>
              </w:rPr>
              <w:t>1</w:t>
            </w:r>
          </w:p>
        </w:tc>
        <w:tc>
          <w:tcPr>
            <w:tcW w:w="693" w:type="dxa"/>
            <w:shd w:val="clear" w:color="auto" w:fill="auto"/>
          </w:tcPr>
          <w:p w14:paraId="08542A3C" w14:textId="77777777" w:rsidR="00C42CEA" w:rsidRPr="00665917" w:rsidRDefault="00C42CEA" w:rsidP="007660C0">
            <w:pPr>
              <w:jc w:val="left"/>
              <w:rPr>
                <w:rFonts w:cs="Arial"/>
                <w:sz w:val="20"/>
                <w:szCs w:val="20"/>
              </w:rPr>
            </w:pPr>
            <w:r w:rsidRPr="00665917">
              <w:rPr>
                <w:sz w:val="20"/>
              </w:rPr>
              <w:t>→</w:t>
            </w:r>
          </w:p>
        </w:tc>
        <w:tc>
          <w:tcPr>
            <w:tcW w:w="4643" w:type="dxa"/>
            <w:shd w:val="clear" w:color="auto" w:fill="auto"/>
          </w:tcPr>
          <w:p w14:paraId="08542A3D" w14:textId="77777777" w:rsidR="00C42CEA" w:rsidRPr="00665917" w:rsidRDefault="00C42CEA" w:rsidP="007660C0">
            <w:pPr>
              <w:jc w:val="left"/>
              <w:rPr>
                <w:rFonts w:cs="Arial"/>
                <w:sz w:val="20"/>
                <w:szCs w:val="20"/>
              </w:rPr>
            </w:pPr>
            <w:r w:rsidRPr="00665917">
              <w:rPr>
                <w:sz w:val="20"/>
              </w:rPr>
              <w:t>333</w:t>
            </w:r>
          </w:p>
        </w:tc>
      </w:tr>
      <w:tr w:rsidR="00C42CEA" w:rsidRPr="00665917" w14:paraId="08542A44" w14:textId="77777777" w:rsidTr="007660C0">
        <w:tc>
          <w:tcPr>
            <w:tcW w:w="1998" w:type="dxa"/>
            <w:shd w:val="clear" w:color="auto" w:fill="auto"/>
          </w:tcPr>
          <w:p w14:paraId="08542A3F" w14:textId="77777777" w:rsidR="00C42CEA" w:rsidRPr="00665917" w:rsidRDefault="00C42CEA" w:rsidP="007660C0">
            <w:pPr>
              <w:jc w:val="left"/>
              <w:rPr>
                <w:rFonts w:cs="Arial"/>
                <w:sz w:val="20"/>
                <w:szCs w:val="20"/>
              </w:rPr>
            </w:pPr>
            <w:r w:rsidRPr="00665917">
              <w:rPr>
                <w:sz w:val="20"/>
              </w:rPr>
              <w:t>Coursier</w:t>
            </w:r>
          </w:p>
        </w:tc>
        <w:tc>
          <w:tcPr>
            <w:tcW w:w="1402" w:type="dxa"/>
            <w:shd w:val="clear" w:color="auto" w:fill="auto"/>
          </w:tcPr>
          <w:p w14:paraId="08542A40" w14:textId="77777777" w:rsidR="00C42CEA" w:rsidRPr="00665917" w:rsidRDefault="00C42CEA" w:rsidP="007660C0">
            <w:pPr>
              <w:jc w:val="left"/>
              <w:rPr>
                <w:rFonts w:cs="Arial"/>
                <w:sz w:val="20"/>
                <w:szCs w:val="20"/>
              </w:rPr>
            </w:pPr>
            <w:r w:rsidRPr="00665917">
              <w:rPr>
                <w:sz w:val="20"/>
              </w:rPr>
              <w:t>KG</w:t>
            </w:r>
          </w:p>
        </w:tc>
        <w:tc>
          <w:tcPr>
            <w:tcW w:w="1010" w:type="dxa"/>
            <w:shd w:val="clear" w:color="auto" w:fill="auto"/>
          </w:tcPr>
          <w:p w14:paraId="08542A41" w14:textId="77777777" w:rsidR="00C42CEA" w:rsidRPr="00665917" w:rsidRDefault="00C42CEA" w:rsidP="007660C0">
            <w:pPr>
              <w:jc w:val="left"/>
              <w:rPr>
                <w:rFonts w:cs="Arial"/>
                <w:sz w:val="20"/>
                <w:szCs w:val="20"/>
              </w:rPr>
            </w:pPr>
            <w:r w:rsidRPr="00665917">
              <w:rPr>
                <w:sz w:val="20"/>
              </w:rPr>
              <w:t>1</w:t>
            </w:r>
          </w:p>
        </w:tc>
        <w:tc>
          <w:tcPr>
            <w:tcW w:w="693" w:type="dxa"/>
            <w:shd w:val="clear" w:color="auto" w:fill="auto"/>
          </w:tcPr>
          <w:p w14:paraId="08542A42" w14:textId="77777777" w:rsidR="00C42CEA" w:rsidRPr="00665917" w:rsidRDefault="00C42CEA" w:rsidP="007660C0">
            <w:pPr>
              <w:jc w:val="left"/>
              <w:rPr>
                <w:rFonts w:cs="Arial"/>
                <w:sz w:val="20"/>
                <w:szCs w:val="20"/>
              </w:rPr>
            </w:pPr>
            <w:r w:rsidRPr="00665917">
              <w:rPr>
                <w:sz w:val="20"/>
              </w:rPr>
              <w:t>←</w:t>
            </w:r>
          </w:p>
        </w:tc>
        <w:tc>
          <w:tcPr>
            <w:tcW w:w="4643" w:type="dxa"/>
            <w:shd w:val="clear" w:color="auto" w:fill="auto"/>
          </w:tcPr>
          <w:p w14:paraId="08542A43" w14:textId="77777777" w:rsidR="00C42CEA" w:rsidRPr="00665917" w:rsidRDefault="00C42CEA" w:rsidP="007660C0">
            <w:pPr>
              <w:jc w:val="left"/>
              <w:rPr>
                <w:rFonts w:cs="Arial"/>
                <w:sz w:val="20"/>
                <w:szCs w:val="20"/>
              </w:rPr>
            </w:pPr>
            <w:r w:rsidRPr="00665917">
              <w:rPr>
                <w:sz w:val="20"/>
              </w:rPr>
              <w:t>200</w:t>
            </w:r>
          </w:p>
        </w:tc>
      </w:tr>
      <w:tr w:rsidR="00C42CEA" w:rsidRPr="00665917" w14:paraId="08542A4A" w14:textId="77777777" w:rsidTr="007660C0">
        <w:tc>
          <w:tcPr>
            <w:tcW w:w="1998" w:type="dxa"/>
            <w:shd w:val="clear" w:color="auto" w:fill="auto"/>
          </w:tcPr>
          <w:p w14:paraId="08542A45" w14:textId="77777777" w:rsidR="00C42CEA" w:rsidRPr="00665917" w:rsidRDefault="00C42CEA" w:rsidP="007660C0">
            <w:pPr>
              <w:jc w:val="left"/>
              <w:rPr>
                <w:rFonts w:cs="Arial"/>
                <w:sz w:val="20"/>
                <w:szCs w:val="20"/>
              </w:rPr>
            </w:pPr>
            <w:r w:rsidRPr="00665917">
              <w:rPr>
                <w:sz w:val="20"/>
              </w:rPr>
              <w:t>Transport intérieur</w:t>
            </w:r>
          </w:p>
        </w:tc>
        <w:tc>
          <w:tcPr>
            <w:tcW w:w="1402" w:type="dxa"/>
            <w:shd w:val="clear" w:color="auto" w:fill="auto"/>
          </w:tcPr>
          <w:p w14:paraId="08542A46" w14:textId="77777777" w:rsidR="00C42CEA" w:rsidRPr="00665917" w:rsidRDefault="00C42CEA" w:rsidP="007660C0">
            <w:pPr>
              <w:jc w:val="left"/>
              <w:rPr>
                <w:rFonts w:cs="Arial"/>
                <w:sz w:val="20"/>
                <w:szCs w:val="20"/>
              </w:rPr>
            </w:pPr>
            <w:r w:rsidRPr="00665917">
              <w:rPr>
                <w:sz w:val="20"/>
              </w:rPr>
              <w:t>CBM</w:t>
            </w:r>
          </w:p>
        </w:tc>
        <w:tc>
          <w:tcPr>
            <w:tcW w:w="1010" w:type="dxa"/>
            <w:shd w:val="clear" w:color="auto" w:fill="auto"/>
          </w:tcPr>
          <w:p w14:paraId="08542A47" w14:textId="77777777" w:rsidR="00C42CEA" w:rsidRPr="00665917" w:rsidRDefault="00C42CEA" w:rsidP="007660C0">
            <w:pPr>
              <w:jc w:val="left"/>
              <w:rPr>
                <w:rFonts w:cs="Arial"/>
                <w:sz w:val="20"/>
                <w:szCs w:val="20"/>
              </w:rPr>
            </w:pPr>
          </w:p>
        </w:tc>
        <w:tc>
          <w:tcPr>
            <w:tcW w:w="693" w:type="dxa"/>
            <w:shd w:val="clear" w:color="auto" w:fill="auto"/>
          </w:tcPr>
          <w:p w14:paraId="08542A48" w14:textId="77777777" w:rsidR="00C42CEA" w:rsidRPr="00665917" w:rsidRDefault="00C42CEA" w:rsidP="007660C0">
            <w:pPr>
              <w:jc w:val="left"/>
              <w:rPr>
                <w:rFonts w:cs="Arial"/>
                <w:sz w:val="20"/>
                <w:szCs w:val="20"/>
              </w:rPr>
            </w:pPr>
            <w:r w:rsidRPr="00665917">
              <w:rPr>
                <w:sz w:val="20"/>
              </w:rPr>
              <w:t>→</w:t>
            </w:r>
          </w:p>
        </w:tc>
        <w:tc>
          <w:tcPr>
            <w:tcW w:w="4643" w:type="dxa"/>
            <w:shd w:val="clear" w:color="auto" w:fill="auto"/>
          </w:tcPr>
          <w:p w14:paraId="08542A49" w14:textId="77777777" w:rsidR="00C42CEA" w:rsidRPr="00665917" w:rsidRDefault="00C42CEA" w:rsidP="007660C0">
            <w:pPr>
              <w:jc w:val="left"/>
              <w:rPr>
                <w:rFonts w:cs="Arial"/>
                <w:sz w:val="20"/>
                <w:szCs w:val="20"/>
              </w:rPr>
            </w:pPr>
            <w:r w:rsidRPr="00665917">
              <w:rPr>
                <w:sz w:val="20"/>
              </w:rPr>
              <w:t>Normalement 300, mais en fonction du pays d'opération</w:t>
            </w:r>
          </w:p>
        </w:tc>
      </w:tr>
      <w:tr w:rsidR="00C42CEA" w:rsidRPr="00665917" w14:paraId="08542A50" w14:textId="77777777" w:rsidTr="007660C0">
        <w:tc>
          <w:tcPr>
            <w:tcW w:w="1998" w:type="dxa"/>
            <w:shd w:val="clear" w:color="auto" w:fill="auto"/>
          </w:tcPr>
          <w:p w14:paraId="08542A4B" w14:textId="77777777" w:rsidR="00C42CEA" w:rsidRPr="00665917" w:rsidRDefault="00C42CEA" w:rsidP="007660C0">
            <w:pPr>
              <w:jc w:val="left"/>
              <w:rPr>
                <w:rFonts w:cs="Arial"/>
                <w:sz w:val="20"/>
                <w:szCs w:val="20"/>
              </w:rPr>
            </w:pPr>
            <w:r w:rsidRPr="00665917">
              <w:rPr>
                <w:sz w:val="20"/>
              </w:rPr>
              <w:t xml:space="preserve">Chemin de fer </w:t>
            </w:r>
          </w:p>
        </w:tc>
        <w:tc>
          <w:tcPr>
            <w:tcW w:w="1402" w:type="dxa"/>
            <w:shd w:val="clear" w:color="auto" w:fill="auto"/>
          </w:tcPr>
          <w:p w14:paraId="08542A4C" w14:textId="77777777" w:rsidR="00C42CEA" w:rsidRPr="00665917" w:rsidRDefault="00C42CEA" w:rsidP="007660C0">
            <w:pPr>
              <w:jc w:val="left"/>
              <w:rPr>
                <w:rFonts w:cs="Arial"/>
                <w:sz w:val="20"/>
                <w:szCs w:val="20"/>
              </w:rPr>
            </w:pPr>
            <w:r w:rsidRPr="00665917">
              <w:rPr>
                <w:sz w:val="20"/>
              </w:rPr>
              <w:t>CBM</w:t>
            </w:r>
          </w:p>
        </w:tc>
        <w:tc>
          <w:tcPr>
            <w:tcW w:w="1010" w:type="dxa"/>
            <w:shd w:val="clear" w:color="auto" w:fill="auto"/>
          </w:tcPr>
          <w:p w14:paraId="08542A4D" w14:textId="77777777" w:rsidR="00C42CEA" w:rsidRPr="00665917" w:rsidRDefault="00C42CEA" w:rsidP="007660C0">
            <w:pPr>
              <w:jc w:val="left"/>
              <w:rPr>
                <w:rFonts w:cs="Arial"/>
                <w:sz w:val="20"/>
                <w:szCs w:val="20"/>
              </w:rPr>
            </w:pPr>
            <w:r w:rsidRPr="00665917">
              <w:rPr>
                <w:sz w:val="20"/>
              </w:rPr>
              <w:t>1</w:t>
            </w:r>
          </w:p>
        </w:tc>
        <w:tc>
          <w:tcPr>
            <w:tcW w:w="693" w:type="dxa"/>
            <w:shd w:val="clear" w:color="auto" w:fill="auto"/>
          </w:tcPr>
          <w:p w14:paraId="08542A4E" w14:textId="77777777" w:rsidR="00C42CEA" w:rsidRPr="00665917" w:rsidRDefault="00C42CEA" w:rsidP="007660C0">
            <w:pPr>
              <w:jc w:val="left"/>
              <w:rPr>
                <w:rFonts w:cs="Arial"/>
                <w:sz w:val="20"/>
                <w:szCs w:val="20"/>
              </w:rPr>
            </w:pPr>
            <w:r w:rsidRPr="00665917">
              <w:rPr>
                <w:sz w:val="20"/>
              </w:rPr>
              <w:t>→</w:t>
            </w:r>
          </w:p>
        </w:tc>
        <w:tc>
          <w:tcPr>
            <w:tcW w:w="4643" w:type="dxa"/>
            <w:shd w:val="clear" w:color="auto" w:fill="auto"/>
          </w:tcPr>
          <w:p w14:paraId="08542A4F" w14:textId="77777777" w:rsidR="00C42CEA" w:rsidRPr="00665917" w:rsidRDefault="00C42CEA" w:rsidP="007660C0">
            <w:pPr>
              <w:jc w:val="left"/>
              <w:rPr>
                <w:rFonts w:cs="Arial"/>
                <w:sz w:val="20"/>
                <w:szCs w:val="20"/>
              </w:rPr>
            </w:pPr>
            <w:r w:rsidRPr="00665917">
              <w:rPr>
                <w:sz w:val="20"/>
              </w:rPr>
              <w:t>Normalement 300, mais en fonction du pays d'opération</w:t>
            </w:r>
          </w:p>
        </w:tc>
      </w:tr>
    </w:tbl>
    <w:p w14:paraId="08542A51" w14:textId="77777777" w:rsidR="00C42CEA" w:rsidRPr="00665917" w:rsidRDefault="00C42CEA" w:rsidP="00C42CEA">
      <w:pPr>
        <w:jc w:val="left"/>
        <w:rPr>
          <w:rFonts w:cs="Arial"/>
          <w:b/>
          <w:sz w:val="20"/>
          <w:szCs w:val="20"/>
        </w:rPr>
      </w:pPr>
    </w:p>
    <w:p w14:paraId="08542A52" w14:textId="77777777" w:rsidR="00C42CEA" w:rsidRPr="00665917" w:rsidRDefault="00C42CEA" w:rsidP="00C42CEA">
      <w:pPr>
        <w:jc w:val="left"/>
        <w:rPr>
          <w:rFonts w:cs="Arial"/>
          <w:b/>
          <w:sz w:val="20"/>
          <w:szCs w:val="20"/>
        </w:rPr>
      </w:pPr>
      <w:r w:rsidRPr="00665917">
        <w:rPr>
          <w:b/>
          <w:sz w:val="20"/>
        </w:rPr>
        <w:t>Calcul de fret aérien</w:t>
      </w:r>
    </w:p>
    <w:p w14:paraId="08542A53" w14:textId="6FD63B85" w:rsidR="00C42CEA" w:rsidRPr="00665917" w:rsidRDefault="00C42CEA" w:rsidP="00C42CEA">
      <w:pPr>
        <w:jc w:val="left"/>
        <w:rPr>
          <w:rFonts w:cs="Arial"/>
          <w:sz w:val="20"/>
          <w:szCs w:val="20"/>
        </w:rPr>
      </w:pPr>
      <w:r w:rsidRPr="00665917">
        <w:rPr>
          <w:sz w:val="20"/>
        </w:rPr>
        <w:t>Si vous avez 5 boîtes avec les dimensions suivantes</w:t>
      </w:r>
      <w:r w:rsidR="0036669E" w:rsidRPr="00665917">
        <w:rPr>
          <w:sz w:val="20"/>
        </w:rPr>
        <w:t> :</w:t>
      </w:r>
      <w:r w:rsidRPr="00665917">
        <w:rPr>
          <w:sz w:val="20"/>
        </w:rPr>
        <w:t xml:space="preserve"> </w:t>
      </w:r>
      <w:r w:rsidR="0036669E" w:rsidRPr="00665917">
        <w:rPr>
          <w:sz w:val="20"/>
        </w:rPr>
        <w:t>l</w:t>
      </w:r>
      <w:r w:rsidRPr="00665917">
        <w:rPr>
          <w:sz w:val="20"/>
        </w:rPr>
        <w:t>ongueur 70 cm x hauteur 60 cm x largeur 50 cm = 0,21 CBM par colis. Le CBM total de 5 colis est 0,21 x 5 = 1,05 CBM.</w:t>
      </w:r>
    </w:p>
    <w:p w14:paraId="08542A54" w14:textId="77777777" w:rsidR="00C42CEA" w:rsidRPr="00665917" w:rsidRDefault="00C42CEA" w:rsidP="00C42CEA">
      <w:pPr>
        <w:jc w:val="left"/>
        <w:rPr>
          <w:rFonts w:cs="Arial"/>
          <w:sz w:val="20"/>
          <w:szCs w:val="20"/>
        </w:rPr>
      </w:pPr>
    </w:p>
    <w:p w14:paraId="08542A55" w14:textId="0ED8F8F7" w:rsidR="00C42CEA" w:rsidRPr="00665917" w:rsidRDefault="00C42CEA" w:rsidP="00C42CEA">
      <w:pPr>
        <w:jc w:val="left"/>
        <w:rPr>
          <w:rFonts w:cs="Arial"/>
          <w:sz w:val="20"/>
          <w:szCs w:val="20"/>
        </w:rPr>
      </w:pPr>
      <w:r w:rsidRPr="00665917">
        <w:rPr>
          <w:sz w:val="20"/>
        </w:rPr>
        <w:t>L'unité de poids réel de chaque colis est de 15 kg</w:t>
      </w:r>
      <w:r w:rsidR="0036669E" w:rsidRPr="00665917">
        <w:rPr>
          <w:sz w:val="20"/>
        </w:rPr>
        <w:t> ;</w:t>
      </w:r>
      <w:r w:rsidRPr="00665917">
        <w:rPr>
          <w:sz w:val="20"/>
        </w:rPr>
        <w:t xml:space="preserve"> le poids total est de 5 x 15 kg = 75 kg.</w:t>
      </w:r>
    </w:p>
    <w:p w14:paraId="08542A56" w14:textId="77777777" w:rsidR="00C42CEA" w:rsidRPr="00665917" w:rsidRDefault="00C42CEA" w:rsidP="00C42CEA">
      <w:pPr>
        <w:jc w:val="left"/>
        <w:rPr>
          <w:rFonts w:cs="Arial"/>
          <w:sz w:val="20"/>
          <w:szCs w:val="20"/>
        </w:rPr>
      </w:pPr>
      <w:r w:rsidRPr="00665917">
        <w:rPr>
          <w:sz w:val="20"/>
        </w:rPr>
        <w:t>Pour identifier le poids d'expédition pour le fret aérien, vous devez multiplier le volume total par 167 (selon le tableau ci-dessus). Dans ce cas, le poids de l'expédition est de 1,05 x 167 = 175,35 kg.</w:t>
      </w:r>
      <w:r w:rsidRPr="00665917">
        <w:rPr>
          <w:b/>
          <w:sz w:val="20"/>
        </w:rPr>
        <w:t xml:space="preserve"> </w:t>
      </w:r>
      <w:r w:rsidRPr="00665917">
        <w:rPr>
          <w:sz w:val="20"/>
        </w:rPr>
        <w:t xml:space="preserve">En conséquence, le poids à payer est de 175,35 kg tandis que le poids réel n'est que de 75 kg. Le prix à payer est toujours le poids le plus élevé. </w:t>
      </w:r>
    </w:p>
    <w:p w14:paraId="08542A57" w14:textId="77777777" w:rsidR="00C42CEA" w:rsidRPr="00665917" w:rsidRDefault="00C42CEA" w:rsidP="00C42CEA">
      <w:pPr>
        <w:jc w:val="left"/>
        <w:rPr>
          <w:rFonts w:cs="Arial"/>
          <w:sz w:val="20"/>
          <w:szCs w:val="20"/>
        </w:rPr>
      </w:pPr>
    </w:p>
    <w:p w14:paraId="08542A58" w14:textId="77777777" w:rsidR="00C42CEA" w:rsidRPr="00665917" w:rsidRDefault="00C42CEA" w:rsidP="00C42CEA">
      <w:pPr>
        <w:jc w:val="left"/>
        <w:rPr>
          <w:rFonts w:cs="Arial"/>
          <w:b/>
          <w:sz w:val="20"/>
          <w:szCs w:val="20"/>
        </w:rPr>
      </w:pPr>
      <w:r w:rsidRPr="00665917">
        <w:rPr>
          <w:b/>
          <w:sz w:val="20"/>
        </w:rPr>
        <w:t>Calcul du fret maritime</w:t>
      </w:r>
    </w:p>
    <w:p w14:paraId="08542A59" w14:textId="77777777" w:rsidR="00C42CEA" w:rsidRPr="00665917" w:rsidRDefault="00C42CEA" w:rsidP="00C42CEA">
      <w:pPr>
        <w:jc w:val="left"/>
        <w:rPr>
          <w:rFonts w:cs="Arial"/>
          <w:sz w:val="20"/>
          <w:szCs w:val="20"/>
        </w:rPr>
      </w:pPr>
      <w:r w:rsidRPr="00665917">
        <w:rPr>
          <w:sz w:val="20"/>
        </w:rPr>
        <w:t xml:space="preserve">Pour le transport maritime, le taux est calculé par CBM. </w:t>
      </w:r>
    </w:p>
    <w:p w14:paraId="08542A5A" w14:textId="2F3EB556" w:rsidR="00C42CEA" w:rsidRPr="00665917" w:rsidRDefault="00C42CEA" w:rsidP="00C42CEA">
      <w:pPr>
        <w:jc w:val="left"/>
        <w:rPr>
          <w:rFonts w:cs="Arial"/>
          <w:sz w:val="20"/>
          <w:szCs w:val="20"/>
        </w:rPr>
      </w:pPr>
      <w:r w:rsidRPr="00665917">
        <w:rPr>
          <w:sz w:val="20"/>
        </w:rPr>
        <w:t>Si vous avez 5 boîtes identiques, le poids de l'expédition est de 75 kg. Vous devez diviser les 75 kg par 1</w:t>
      </w:r>
      <w:r w:rsidR="0036669E" w:rsidRPr="00665917">
        <w:rPr>
          <w:sz w:val="20"/>
        </w:rPr>
        <w:t xml:space="preserve"> </w:t>
      </w:r>
      <w:r w:rsidRPr="00665917">
        <w:rPr>
          <w:sz w:val="20"/>
        </w:rPr>
        <w:t>000</w:t>
      </w:r>
    </w:p>
    <w:p w14:paraId="08542A5B" w14:textId="77777777" w:rsidR="00C42CEA" w:rsidRPr="00665917" w:rsidRDefault="00C42CEA" w:rsidP="00C42CEA">
      <w:pPr>
        <w:jc w:val="left"/>
        <w:rPr>
          <w:rFonts w:cs="Arial"/>
          <w:sz w:val="20"/>
          <w:szCs w:val="20"/>
        </w:rPr>
      </w:pPr>
      <w:r w:rsidRPr="00665917">
        <w:rPr>
          <w:sz w:val="20"/>
        </w:rPr>
        <w:t>= 0,075 CBM les frais de transport sont calculés à partir de 1,05 CBM.</w:t>
      </w:r>
    </w:p>
    <w:p w14:paraId="08542A5C" w14:textId="77777777" w:rsidR="00C42CEA" w:rsidRPr="00665917" w:rsidRDefault="00C42CEA" w:rsidP="00C42CEA">
      <w:pPr>
        <w:jc w:val="left"/>
        <w:rPr>
          <w:rFonts w:cs="Arial"/>
          <w:sz w:val="20"/>
          <w:szCs w:val="20"/>
        </w:rPr>
      </w:pPr>
    </w:p>
    <w:p w14:paraId="08542A5D" w14:textId="33FBA150" w:rsidR="00C42CEA" w:rsidRPr="00665917" w:rsidRDefault="00C42CEA" w:rsidP="00C42CEA">
      <w:pPr>
        <w:jc w:val="left"/>
        <w:rPr>
          <w:rFonts w:cs="Arial"/>
          <w:sz w:val="20"/>
          <w:szCs w:val="20"/>
        </w:rPr>
      </w:pPr>
      <w:r w:rsidRPr="00665917">
        <w:rPr>
          <w:sz w:val="20"/>
        </w:rPr>
        <w:t>Si le poids de ces 5 boîtes est de 250 kg chacune, le poids total est de 5 x 250 = 1</w:t>
      </w:r>
      <w:r w:rsidR="0036669E" w:rsidRPr="00665917">
        <w:rPr>
          <w:sz w:val="20"/>
        </w:rPr>
        <w:t xml:space="preserve"> </w:t>
      </w:r>
      <w:r w:rsidRPr="00665917">
        <w:rPr>
          <w:sz w:val="20"/>
        </w:rPr>
        <w:t>250 kg</w:t>
      </w:r>
    </w:p>
    <w:p w14:paraId="08542A5E" w14:textId="55849A31" w:rsidR="00C42CEA" w:rsidRPr="00665917" w:rsidRDefault="00C42CEA" w:rsidP="00C42CEA">
      <w:pPr>
        <w:jc w:val="left"/>
        <w:rPr>
          <w:rFonts w:cs="Arial"/>
          <w:sz w:val="20"/>
          <w:szCs w:val="20"/>
        </w:rPr>
      </w:pPr>
      <w:r w:rsidRPr="00665917">
        <w:rPr>
          <w:sz w:val="20"/>
        </w:rPr>
        <w:t>1</w:t>
      </w:r>
      <w:r w:rsidR="0036669E" w:rsidRPr="00665917">
        <w:rPr>
          <w:sz w:val="20"/>
        </w:rPr>
        <w:t xml:space="preserve"> </w:t>
      </w:r>
      <w:r w:rsidRPr="00665917">
        <w:rPr>
          <w:sz w:val="20"/>
        </w:rPr>
        <w:t>250 kg divisés par 1</w:t>
      </w:r>
      <w:r w:rsidR="0036669E" w:rsidRPr="00665917">
        <w:rPr>
          <w:sz w:val="20"/>
        </w:rPr>
        <w:t xml:space="preserve"> </w:t>
      </w:r>
      <w:r w:rsidRPr="00665917">
        <w:rPr>
          <w:sz w:val="20"/>
        </w:rPr>
        <w:t>000 = 1</w:t>
      </w:r>
      <w:r w:rsidR="0036669E" w:rsidRPr="00665917">
        <w:rPr>
          <w:sz w:val="20"/>
        </w:rPr>
        <w:t xml:space="preserve"> </w:t>
      </w:r>
      <w:r w:rsidRPr="00665917">
        <w:rPr>
          <w:sz w:val="20"/>
        </w:rPr>
        <w:t>250 et le fret est calculé à partir de 1</w:t>
      </w:r>
      <w:r w:rsidR="0036669E" w:rsidRPr="00665917">
        <w:rPr>
          <w:sz w:val="20"/>
        </w:rPr>
        <w:t xml:space="preserve"> </w:t>
      </w:r>
      <w:r w:rsidRPr="00665917">
        <w:rPr>
          <w:sz w:val="20"/>
        </w:rPr>
        <w:t>250 CBM.</w:t>
      </w:r>
    </w:p>
    <w:p w14:paraId="08542A5F" w14:textId="77777777" w:rsidR="00C42CEA" w:rsidRPr="00665917" w:rsidRDefault="00C42CEA" w:rsidP="00C42CEA">
      <w:pPr>
        <w:jc w:val="left"/>
        <w:rPr>
          <w:rFonts w:cs="Arial"/>
          <w:sz w:val="20"/>
          <w:szCs w:val="20"/>
        </w:rPr>
      </w:pPr>
    </w:p>
    <w:p w14:paraId="08542A60" w14:textId="77777777" w:rsidR="00C42CEA" w:rsidRPr="00665917" w:rsidRDefault="00C42CEA" w:rsidP="00C42CEA">
      <w:pPr>
        <w:jc w:val="left"/>
        <w:rPr>
          <w:rFonts w:cs="Arial"/>
          <w:sz w:val="20"/>
          <w:szCs w:val="20"/>
        </w:rPr>
      </w:pPr>
      <w:r w:rsidRPr="00665917">
        <w:rPr>
          <w:sz w:val="20"/>
        </w:rPr>
        <w:t>Le facteur le plus élevé sous-tend toujours le calcul des marchandises - ce qui signifie que c'est toujours le poids le plus élevé ou CBM qui s'applique.</w:t>
      </w:r>
    </w:p>
    <w:p w14:paraId="08542A61" w14:textId="77777777" w:rsidR="00C42CEA" w:rsidRPr="00665917" w:rsidRDefault="00C42CEA" w:rsidP="00C42CEA">
      <w:pPr>
        <w:jc w:val="left"/>
        <w:rPr>
          <w:rFonts w:cs="Arial"/>
          <w:sz w:val="20"/>
          <w:szCs w:val="20"/>
        </w:rPr>
      </w:pPr>
    </w:p>
    <w:p w14:paraId="08542A62" w14:textId="1DB5165F" w:rsidR="00C42CEA" w:rsidRPr="00665917" w:rsidRDefault="00C42CEA" w:rsidP="00C42CEA">
      <w:pPr>
        <w:pStyle w:val="NOTE"/>
        <w:rPr>
          <w:rFonts w:cs="Arial"/>
          <w:sz w:val="20"/>
          <w:szCs w:val="20"/>
        </w:rPr>
      </w:pPr>
      <w:r w:rsidRPr="00665917">
        <w:rPr>
          <w:sz w:val="20"/>
        </w:rPr>
        <w:t>Contactez votre transitaire local ou la Division approvisionnement et logistique pour plus d'informations sur le prix au kg pour chaque mode de transport.</w:t>
      </w:r>
    </w:p>
    <w:p w14:paraId="08542A63" w14:textId="77777777" w:rsidR="00C42CEA" w:rsidRPr="00665917" w:rsidRDefault="00C42CEA" w:rsidP="00C42CEA">
      <w:pPr>
        <w:jc w:val="left"/>
        <w:rPr>
          <w:rFonts w:cs="Arial"/>
          <w:sz w:val="20"/>
          <w:szCs w:val="20"/>
        </w:rPr>
      </w:pPr>
    </w:p>
    <w:p w14:paraId="08542A64" w14:textId="77777777" w:rsidR="00C42CEA" w:rsidRPr="00665917" w:rsidRDefault="00C42CEA" w:rsidP="00C42CEA">
      <w:pPr>
        <w:rPr>
          <w:rFonts w:cs="Arial"/>
          <w:b/>
          <w:sz w:val="20"/>
          <w:szCs w:val="20"/>
        </w:rPr>
      </w:pPr>
      <w:r w:rsidRPr="00665917">
        <w:rPr>
          <w:b/>
          <w:sz w:val="20"/>
        </w:rPr>
        <w:t>Dimensions des conteneurs</w:t>
      </w:r>
    </w:p>
    <w:tbl>
      <w:tblPr>
        <w:tblStyle w:val="TableGrid"/>
        <w:tblW w:w="0" w:type="auto"/>
        <w:tblInd w:w="108" w:type="dxa"/>
        <w:tblLook w:val="04A0" w:firstRow="1" w:lastRow="0" w:firstColumn="1" w:lastColumn="0" w:noHBand="0" w:noVBand="1"/>
      </w:tblPr>
      <w:tblGrid>
        <w:gridCol w:w="3475"/>
        <w:gridCol w:w="1538"/>
        <w:gridCol w:w="1539"/>
        <w:gridCol w:w="1538"/>
        <w:gridCol w:w="1430"/>
      </w:tblGrid>
      <w:tr w:rsidR="00C42CEA" w:rsidRPr="00665917" w14:paraId="08542A68" w14:textId="77777777" w:rsidTr="007660C0">
        <w:trPr>
          <w:trHeight w:val="415"/>
        </w:trPr>
        <w:tc>
          <w:tcPr>
            <w:tcW w:w="3544" w:type="dxa"/>
            <w:shd w:val="clear" w:color="auto" w:fill="BFBFBF" w:themeFill="background1" w:themeFillShade="BF"/>
            <w:vAlign w:val="center"/>
          </w:tcPr>
          <w:p w14:paraId="08542A65" w14:textId="77777777" w:rsidR="00C42CEA" w:rsidRPr="00665917" w:rsidRDefault="00C42CEA" w:rsidP="007660C0">
            <w:pPr>
              <w:spacing w:line="240" w:lineRule="atLeast"/>
              <w:rPr>
                <w:rFonts w:cs="Arial"/>
                <w:b/>
                <w:sz w:val="20"/>
                <w:szCs w:val="20"/>
              </w:rPr>
            </w:pPr>
            <w:r w:rsidRPr="00665917">
              <w:rPr>
                <w:b/>
                <w:sz w:val="20"/>
              </w:rPr>
              <w:t>Conteneur</w:t>
            </w:r>
          </w:p>
        </w:tc>
        <w:tc>
          <w:tcPr>
            <w:tcW w:w="3119" w:type="dxa"/>
            <w:gridSpan w:val="2"/>
            <w:tcBorders>
              <w:bottom w:val="single" w:sz="4" w:space="0" w:color="auto"/>
            </w:tcBorders>
            <w:shd w:val="clear" w:color="auto" w:fill="BFBFBF" w:themeFill="background1" w:themeFillShade="BF"/>
            <w:vAlign w:val="center"/>
          </w:tcPr>
          <w:p w14:paraId="08542A66" w14:textId="77777777" w:rsidR="00C42CEA" w:rsidRPr="00665917" w:rsidRDefault="00C42CEA" w:rsidP="007660C0">
            <w:pPr>
              <w:spacing w:line="240" w:lineRule="atLeast"/>
              <w:rPr>
                <w:rFonts w:cs="Arial"/>
                <w:b/>
                <w:sz w:val="20"/>
                <w:szCs w:val="20"/>
              </w:rPr>
            </w:pPr>
            <w:r w:rsidRPr="00665917">
              <w:rPr>
                <w:b/>
                <w:sz w:val="20"/>
              </w:rPr>
              <w:t>Norme 40"</w:t>
            </w:r>
          </w:p>
        </w:tc>
        <w:tc>
          <w:tcPr>
            <w:tcW w:w="3007" w:type="dxa"/>
            <w:gridSpan w:val="2"/>
            <w:tcBorders>
              <w:bottom w:val="single" w:sz="4" w:space="0" w:color="auto"/>
            </w:tcBorders>
            <w:shd w:val="clear" w:color="auto" w:fill="BFBFBF" w:themeFill="background1" w:themeFillShade="BF"/>
            <w:vAlign w:val="center"/>
          </w:tcPr>
          <w:p w14:paraId="08542A67" w14:textId="77777777" w:rsidR="00C42CEA" w:rsidRPr="00665917" w:rsidRDefault="00C42CEA" w:rsidP="007660C0">
            <w:pPr>
              <w:spacing w:line="240" w:lineRule="atLeast"/>
              <w:rPr>
                <w:rFonts w:cs="Arial"/>
                <w:b/>
                <w:sz w:val="20"/>
                <w:szCs w:val="20"/>
              </w:rPr>
            </w:pPr>
            <w:r w:rsidRPr="00665917">
              <w:rPr>
                <w:b/>
                <w:sz w:val="20"/>
              </w:rPr>
              <w:t>Norme 20 "</w:t>
            </w:r>
          </w:p>
        </w:tc>
      </w:tr>
      <w:tr w:rsidR="00C42CEA" w:rsidRPr="00665917" w14:paraId="08542A6E" w14:textId="77777777" w:rsidTr="007660C0">
        <w:tc>
          <w:tcPr>
            <w:tcW w:w="3544" w:type="dxa"/>
          </w:tcPr>
          <w:p w14:paraId="08542A69" w14:textId="77777777" w:rsidR="00C42CEA" w:rsidRPr="00665917" w:rsidRDefault="00C42CEA" w:rsidP="007660C0">
            <w:pPr>
              <w:spacing w:line="240" w:lineRule="atLeast"/>
              <w:rPr>
                <w:rFonts w:cs="Arial"/>
                <w:sz w:val="20"/>
                <w:szCs w:val="20"/>
              </w:rPr>
            </w:pPr>
            <w:r w:rsidRPr="00665917">
              <w:rPr>
                <w:sz w:val="20"/>
              </w:rPr>
              <w:lastRenderedPageBreak/>
              <w:t>Longueur intérieure</w:t>
            </w:r>
          </w:p>
        </w:tc>
        <w:tc>
          <w:tcPr>
            <w:tcW w:w="1559" w:type="dxa"/>
            <w:tcBorders>
              <w:right w:val="nil"/>
            </w:tcBorders>
          </w:tcPr>
          <w:p w14:paraId="08542A6A" w14:textId="35083303" w:rsidR="00C42CEA" w:rsidRPr="00665917" w:rsidRDefault="00C42CEA" w:rsidP="007660C0">
            <w:pPr>
              <w:spacing w:line="240" w:lineRule="atLeast"/>
              <w:rPr>
                <w:rFonts w:cs="Arial"/>
                <w:b/>
                <w:sz w:val="20"/>
                <w:szCs w:val="20"/>
              </w:rPr>
            </w:pPr>
            <w:r w:rsidRPr="00665917">
              <w:rPr>
                <w:sz w:val="20"/>
              </w:rPr>
              <w:t>39'5"</w:t>
            </w:r>
            <w:r w:rsidR="0036669E" w:rsidRPr="00665917">
              <w:rPr>
                <w:sz w:val="20"/>
              </w:rPr>
              <w:t xml:space="preserve"> </w:t>
            </w:r>
          </w:p>
        </w:tc>
        <w:tc>
          <w:tcPr>
            <w:tcW w:w="1560" w:type="dxa"/>
            <w:tcBorders>
              <w:left w:val="nil"/>
            </w:tcBorders>
          </w:tcPr>
          <w:p w14:paraId="08542A6B" w14:textId="77777777" w:rsidR="00C42CEA" w:rsidRPr="00665917" w:rsidRDefault="00C42CEA" w:rsidP="007660C0">
            <w:pPr>
              <w:spacing w:line="240" w:lineRule="atLeast"/>
              <w:rPr>
                <w:rFonts w:cs="Arial"/>
                <w:b/>
                <w:sz w:val="20"/>
                <w:szCs w:val="20"/>
              </w:rPr>
            </w:pPr>
            <w:r w:rsidRPr="00665917">
              <w:rPr>
                <w:sz w:val="20"/>
              </w:rPr>
              <w:t>12,01 m</w:t>
            </w:r>
          </w:p>
        </w:tc>
        <w:tc>
          <w:tcPr>
            <w:tcW w:w="1559" w:type="dxa"/>
            <w:tcBorders>
              <w:right w:val="nil"/>
            </w:tcBorders>
          </w:tcPr>
          <w:p w14:paraId="08542A6C" w14:textId="77777777" w:rsidR="00C42CEA" w:rsidRPr="00665917" w:rsidRDefault="00C42CEA" w:rsidP="007660C0">
            <w:pPr>
              <w:spacing w:line="240" w:lineRule="atLeast"/>
              <w:rPr>
                <w:rFonts w:cs="Arial"/>
                <w:b/>
                <w:sz w:val="20"/>
                <w:szCs w:val="20"/>
              </w:rPr>
            </w:pPr>
            <w:r w:rsidRPr="00665917">
              <w:rPr>
                <w:sz w:val="20"/>
              </w:rPr>
              <w:t>19'4"</w:t>
            </w:r>
          </w:p>
        </w:tc>
        <w:tc>
          <w:tcPr>
            <w:tcW w:w="1448" w:type="dxa"/>
            <w:tcBorders>
              <w:left w:val="nil"/>
            </w:tcBorders>
          </w:tcPr>
          <w:p w14:paraId="08542A6D" w14:textId="77777777" w:rsidR="00C42CEA" w:rsidRPr="00665917" w:rsidRDefault="00C42CEA" w:rsidP="007660C0">
            <w:pPr>
              <w:spacing w:line="240" w:lineRule="atLeast"/>
              <w:rPr>
                <w:rFonts w:cs="Arial"/>
                <w:b/>
                <w:sz w:val="20"/>
                <w:szCs w:val="20"/>
              </w:rPr>
            </w:pPr>
            <w:r w:rsidRPr="00665917">
              <w:rPr>
                <w:sz w:val="20"/>
              </w:rPr>
              <w:t>5,89 m</w:t>
            </w:r>
          </w:p>
        </w:tc>
      </w:tr>
      <w:tr w:rsidR="00C42CEA" w:rsidRPr="00665917" w14:paraId="08542A74" w14:textId="77777777" w:rsidTr="007660C0">
        <w:tc>
          <w:tcPr>
            <w:tcW w:w="3544" w:type="dxa"/>
          </w:tcPr>
          <w:p w14:paraId="08542A6F" w14:textId="77777777" w:rsidR="00C42CEA" w:rsidRPr="00665917" w:rsidRDefault="00C42CEA" w:rsidP="007660C0">
            <w:pPr>
              <w:spacing w:line="240" w:lineRule="atLeast"/>
              <w:rPr>
                <w:rFonts w:cs="Arial"/>
                <w:sz w:val="20"/>
                <w:szCs w:val="20"/>
              </w:rPr>
            </w:pPr>
            <w:r w:rsidRPr="00665917">
              <w:rPr>
                <w:sz w:val="20"/>
              </w:rPr>
              <w:t>Largeur intérieure</w:t>
            </w:r>
          </w:p>
        </w:tc>
        <w:tc>
          <w:tcPr>
            <w:tcW w:w="1559" w:type="dxa"/>
            <w:tcBorders>
              <w:right w:val="nil"/>
            </w:tcBorders>
          </w:tcPr>
          <w:p w14:paraId="08542A70" w14:textId="77777777" w:rsidR="00C42CEA" w:rsidRPr="00665917" w:rsidRDefault="00C42CEA" w:rsidP="007660C0">
            <w:pPr>
              <w:spacing w:line="240" w:lineRule="atLeast"/>
              <w:rPr>
                <w:rFonts w:cs="Arial"/>
                <w:b/>
                <w:sz w:val="20"/>
                <w:szCs w:val="20"/>
              </w:rPr>
            </w:pPr>
            <w:r w:rsidRPr="00665917">
              <w:rPr>
                <w:sz w:val="20"/>
              </w:rPr>
              <w:t>7'8"</w:t>
            </w:r>
          </w:p>
        </w:tc>
        <w:tc>
          <w:tcPr>
            <w:tcW w:w="1560" w:type="dxa"/>
            <w:tcBorders>
              <w:left w:val="nil"/>
            </w:tcBorders>
          </w:tcPr>
          <w:p w14:paraId="08542A71" w14:textId="77777777" w:rsidR="00C42CEA" w:rsidRPr="00665917" w:rsidRDefault="00C42CEA" w:rsidP="007660C0">
            <w:pPr>
              <w:spacing w:line="240" w:lineRule="atLeast"/>
              <w:rPr>
                <w:rFonts w:cs="Arial"/>
                <w:b/>
                <w:sz w:val="20"/>
                <w:szCs w:val="20"/>
              </w:rPr>
            </w:pPr>
            <w:r w:rsidRPr="00665917">
              <w:rPr>
                <w:sz w:val="20"/>
              </w:rPr>
              <w:t>2,33 m</w:t>
            </w:r>
          </w:p>
        </w:tc>
        <w:tc>
          <w:tcPr>
            <w:tcW w:w="1559" w:type="dxa"/>
            <w:tcBorders>
              <w:right w:val="nil"/>
            </w:tcBorders>
          </w:tcPr>
          <w:p w14:paraId="08542A72" w14:textId="77777777" w:rsidR="00C42CEA" w:rsidRPr="00665917" w:rsidRDefault="00C42CEA" w:rsidP="007660C0">
            <w:pPr>
              <w:spacing w:line="240" w:lineRule="atLeast"/>
              <w:rPr>
                <w:rFonts w:cs="Arial"/>
                <w:b/>
                <w:sz w:val="20"/>
                <w:szCs w:val="20"/>
              </w:rPr>
            </w:pPr>
            <w:r w:rsidRPr="00665917">
              <w:rPr>
                <w:sz w:val="20"/>
              </w:rPr>
              <w:t>7'8"</w:t>
            </w:r>
          </w:p>
        </w:tc>
        <w:tc>
          <w:tcPr>
            <w:tcW w:w="1448" w:type="dxa"/>
            <w:tcBorders>
              <w:left w:val="nil"/>
            </w:tcBorders>
          </w:tcPr>
          <w:p w14:paraId="08542A73" w14:textId="77777777" w:rsidR="00C42CEA" w:rsidRPr="00665917" w:rsidRDefault="00C42CEA" w:rsidP="007660C0">
            <w:pPr>
              <w:spacing w:line="240" w:lineRule="atLeast"/>
              <w:rPr>
                <w:rFonts w:cs="Arial"/>
                <w:b/>
                <w:sz w:val="20"/>
                <w:szCs w:val="20"/>
              </w:rPr>
            </w:pPr>
            <w:r w:rsidRPr="00665917">
              <w:rPr>
                <w:sz w:val="20"/>
              </w:rPr>
              <w:t>2,33 m</w:t>
            </w:r>
          </w:p>
        </w:tc>
      </w:tr>
      <w:tr w:rsidR="00C42CEA" w:rsidRPr="00665917" w14:paraId="08542A7A" w14:textId="77777777" w:rsidTr="007660C0">
        <w:tc>
          <w:tcPr>
            <w:tcW w:w="3544" w:type="dxa"/>
          </w:tcPr>
          <w:p w14:paraId="08542A75" w14:textId="77777777" w:rsidR="00C42CEA" w:rsidRPr="00665917" w:rsidRDefault="00C42CEA" w:rsidP="007660C0">
            <w:pPr>
              <w:spacing w:line="240" w:lineRule="atLeast"/>
              <w:rPr>
                <w:rFonts w:cs="Arial"/>
                <w:sz w:val="20"/>
                <w:szCs w:val="20"/>
              </w:rPr>
            </w:pPr>
            <w:r w:rsidRPr="00665917">
              <w:rPr>
                <w:sz w:val="20"/>
              </w:rPr>
              <w:t>Hauteur intérieure</w:t>
            </w:r>
          </w:p>
        </w:tc>
        <w:tc>
          <w:tcPr>
            <w:tcW w:w="1559" w:type="dxa"/>
            <w:tcBorders>
              <w:right w:val="nil"/>
            </w:tcBorders>
          </w:tcPr>
          <w:p w14:paraId="08542A76" w14:textId="77777777" w:rsidR="00C42CEA" w:rsidRPr="00665917" w:rsidRDefault="00C42CEA" w:rsidP="007660C0">
            <w:pPr>
              <w:spacing w:line="240" w:lineRule="atLeast"/>
              <w:rPr>
                <w:rFonts w:cs="Arial"/>
                <w:b/>
                <w:sz w:val="20"/>
                <w:szCs w:val="20"/>
              </w:rPr>
            </w:pPr>
            <w:r w:rsidRPr="00665917">
              <w:rPr>
                <w:sz w:val="20"/>
              </w:rPr>
              <w:t>7'10"</w:t>
            </w:r>
          </w:p>
        </w:tc>
        <w:tc>
          <w:tcPr>
            <w:tcW w:w="1560" w:type="dxa"/>
            <w:tcBorders>
              <w:left w:val="nil"/>
            </w:tcBorders>
          </w:tcPr>
          <w:p w14:paraId="08542A77" w14:textId="77777777" w:rsidR="00C42CEA" w:rsidRPr="00665917" w:rsidRDefault="00C42CEA" w:rsidP="007660C0">
            <w:pPr>
              <w:spacing w:line="240" w:lineRule="atLeast"/>
              <w:rPr>
                <w:rFonts w:cs="Arial"/>
                <w:b/>
                <w:sz w:val="20"/>
                <w:szCs w:val="20"/>
              </w:rPr>
            </w:pPr>
            <w:r w:rsidRPr="00665917">
              <w:rPr>
                <w:sz w:val="20"/>
              </w:rPr>
              <w:t>2,38 m</w:t>
            </w:r>
          </w:p>
        </w:tc>
        <w:tc>
          <w:tcPr>
            <w:tcW w:w="1559" w:type="dxa"/>
            <w:tcBorders>
              <w:right w:val="nil"/>
            </w:tcBorders>
          </w:tcPr>
          <w:p w14:paraId="08542A78" w14:textId="77777777" w:rsidR="00C42CEA" w:rsidRPr="00665917" w:rsidRDefault="00C42CEA" w:rsidP="007660C0">
            <w:pPr>
              <w:spacing w:line="240" w:lineRule="atLeast"/>
              <w:rPr>
                <w:rFonts w:cs="Arial"/>
                <w:b/>
                <w:sz w:val="20"/>
                <w:szCs w:val="20"/>
              </w:rPr>
            </w:pPr>
            <w:r w:rsidRPr="00665917">
              <w:rPr>
                <w:sz w:val="20"/>
              </w:rPr>
              <w:t>7'10"</w:t>
            </w:r>
          </w:p>
        </w:tc>
        <w:tc>
          <w:tcPr>
            <w:tcW w:w="1448" w:type="dxa"/>
            <w:tcBorders>
              <w:left w:val="nil"/>
            </w:tcBorders>
          </w:tcPr>
          <w:p w14:paraId="08542A79" w14:textId="77777777" w:rsidR="00C42CEA" w:rsidRPr="00665917" w:rsidRDefault="00C42CEA" w:rsidP="007660C0">
            <w:pPr>
              <w:spacing w:line="240" w:lineRule="atLeast"/>
              <w:rPr>
                <w:rFonts w:cs="Arial"/>
                <w:b/>
                <w:sz w:val="20"/>
                <w:szCs w:val="20"/>
              </w:rPr>
            </w:pPr>
            <w:r w:rsidRPr="00665917">
              <w:rPr>
                <w:sz w:val="20"/>
              </w:rPr>
              <w:t>2,38 m</w:t>
            </w:r>
          </w:p>
        </w:tc>
      </w:tr>
      <w:tr w:rsidR="00C42CEA" w:rsidRPr="00665917" w14:paraId="08542A80" w14:textId="77777777" w:rsidTr="007660C0">
        <w:tc>
          <w:tcPr>
            <w:tcW w:w="3544" w:type="dxa"/>
          </w:tcPr>
          <w:p w14:paraId="08542A7B" w14:textId="77777777" w:rsidR="00C42CEA" w:rsidRPr="00665917" w:rsidRDefault="00C42CEA" w:rsidP="007660C0">
            <w:pPr>
              <w:spacing w:line="240" w:lineRule="atLeast"/>
              <w:rPr>
                <w:rFonts w:cs="Arial"/>
                <w:sz w:val="20"/>
                <w:szCs w:val="20"/>
              </w:rPr>
            </w:pPr>
            <w:r w:rsidRPr="00665917">
              <w:rPr>
                <w:sz w:val="20"/>
              </w:rPr>
              <w:t>Largeur de la porte</w:t>
            </w:r>
          </w:p>
        </w:tc>
        <w:tc>
          <w:tcPr>
            <w:tcW w:w="1559" w:type="dxa"/>
            <w:tcBorders>
              <w:right w:val="nil"/>
            </w:tcBorders>
          </w:tcPr>
          <w:p w14:paraId="08542A7C" w14:textId="77777777" w:rsidR="00C42CEA" w:rsidRPr="00665917" w:rsidRDefault="00C42CEA" w:rsidP="007660C0">
            <w:pPr>
              <w:spacing w:line="240" w:lineRule="atLeast"/>
              <w:rPr>
                <w:rFonts w:cs="Arial"/>
                <w:b/>
                <w:sz w:val="20"/>
                <w:szCs w:val="20"/>
              </w:rPr>
            </w:pPr>
            <w:r w:rsidRPr="00665917">
              <w:rPr>
                <w:sz w:val="20"/>
              </w:rPr>
              <w:t>7'8"</w:t>
            </w:r>
          </w:p>
        </w:tc>
        <w:tc>
          <w:tcPr>
            <w:tcW w:w="1560" w:type="dxa"/>
            <w:tcBorders>
              <w:left w:val="nil"/>
            </w:tcBorders>
          </w:tcPr>
          <w:p w14:paraId="08542A7D" w14:textId="77777777" w:rsidR="00C42CEA" w:rsidRPr="00665917" w:rsidRDefault="00C42CEA" w:rsidP="007660C0">
            <w:pPr>
              <w:spacing w:line="240" w:lineRule="atLeast"/>
              <w:rPr>
                <w:rFonts w:cs="Arial"/>
                <w:b/>
                <w:sz w:val="20"/>
                <w:szCs w:val="20"/>
              </w:rPr>
            </w:pPr>
            <w:r w:rsidRPr="00665917">
              <w:rPr>
                <w:sz w:val="20"/>
              </w:rPr>
              <w:t>2,33 m</w:t>
            </w:r>
          </w:p>
        </w:tc>
        <w:tc>
          <w:tcPr>
            <w:tcW w:w="1559" w:type="dxa"/>
            <w:tcBorders>
              <w:right w:val="nil"/>
            </w:tcBorders>
          </w:tcPr>
          <w:p w14:paraId="08542A7E" w14:textId="77777777" w:rsidR="00C42CEA" w:rsidRPr="00665917" w:rsidRDefault="00C42CEA" w:rsidP="007660C0">
            <w:pPr>
              <w:spacing w:line="240" w:lineRule="atLeast"/>
              <w:rPr>
                <w:rFonts w:cs="Arial"/>
                <w:b/>
                <w:sz w:val="20"/>
                <w:szCs w:val="20"/>
              </w:rPr>
            </w:pPr>
            <w:r w:rsidRPr="00665917">
              <w:rPr>
                <w:sz w:val="20"/>
              </w:rPr>
              <w:t>7'8"</w:t>
            </w:r>
          </w:p>
        </w:tc>
        <w:tc>
          <w:tcPr>
            <w:tcW w:w="1448" w:type="dxa"/>
            <w:tcBorders>
              <w:left w:val="nil"/>
            </w:tcBorders>
          </w:tcPr>
          <w:p w14:paraId="08542A7F" w14:textId="77777777" w:rsidR="00C42CEA" w:rsidRPr="00665917" w:rsidRDefault="00C42CEA" w:rsidP="007660C0">
            <w:pPr>
              <w:spacing w:line="240" w:lineRule="atLeast"/>
              <w:rPr>
                <w:rFonts w:cs="Arial"/>
                <w:b/>
                <w:sz w:val="20"/>
                <w:szCs w:val="20"/>
              </w:rPr>
            </w:pPr>
            <w:r w:rsidRPr="00665917">
              <w:rPr>
                <w:sz w:val="20"/>
              </w:rPr>
              <w:t>2,33 m</w:t>
            </w:r>
          </w:p>
        </w:tc>
      </w:tr>
      <w:tr w:rsidR="00C42CEA" w:rsidRPr="00665917" w14:paraId="08542A86" w14:textId="77777777" w:rsidTr="007660C0">
        <w:tc>
          <w:tcPr>
            <w:tcW w:w="3544" w:type="dxa"/>
          </w:tcPr>
          <w:p w14:paraId="08542A81" w14:textId="77777777" w:rsidR="00C42CEA" w:rsidRPr="00665917" w:rsidRDefault="00C42CEA" w:rsidP="007660C0">
            <w:pPr>
              <w:spacing w:line="240" w:lineRule="atLeast"/>
              <w:rPr>
                <w:rFonts w:cs="Arial"/>
                <w:sz w:val="20"/>
                <w:szCs w:val="20"/>
              </w:rPr>
            </w:pPr>
            <w:r w:rsidRPr="00665917">
              <w:rPr>
                <w:sz w:val="20"/>
              </w:rPr>
              <w:t>Hauteur de la porte</w:t>
            </w:r>
          </w:p>
        </w:tc>
        <w:tc>
          <w:tcPr>
            <w:tcW w:w="1559" w:type="dxa"/>
            <w:tcBorders>
              <w:right w:val="nil"/>
            </w:tcBorders>
          </w:tcPr>
          <w:p w14:paraId="08542A82" w14:textId="77777777" w:rsidR="00C42CEA" w:rsidRPr="00665917" w:rsidRDefault="00C42CEA" w:rsidP="007660C0">
            <w:pPr>
              <w:spacing w:line="240" w:lineRule="atLeast"/>
              <w:rPr>
                <w:rFonts w:cs="Arial"/>
                <w:b/>
                <w:sz w:val="20"/>
                <w:szCs w:val="20"/>
              </w:rPr>
            </w:pPr>
            <w:r w:rsidRPr="00665917">
              <w:rPr>
                <w:sz w:val="20"/>
              </w:rPr>
              <w:t>7'6"</w:t>
            </w:r>
          </w:p>
        </w:tc>
        <w:tc>
          <w:tcPr>
            <w:tcW w:w="1560" w:type="dxa"/>
            <w:tcBorders>
              <w:left w:val="nil"/>
            </w:tcBorders>
          </w:tcPr>
          <w:p w14:paraId="08542A83" w14:textId="77777777" w:rsidR="00C42CEA" w:rsidRPr="00665917" w:rsidRDefault="00C42CEA" w:rsidP="007660C0">
            <w:pPr>
              <w:spacing w:line="240" w:lineRule="atLeast"/>
              <w:rPr>
                <w:rFonts w:cs="Arial"/>
                <w:b/>
                <w:sz w:val="20"/>
                <w:szCs w:val="20"/>
              </w:rPr>
            </w:pPr>
            <w:r w:rsidRPr="00665917">
              <w:rPr>
                <w:sz w:val="20"/>
              </w:rPr>
              <w:t>2,28 m</w:t>
            </w:r>
          </w:p>
        </w:tc>
        <w:tc>
          <w:tcPr>
            <w:tcW w:w="1559" w:type="dxa"/>
            <w:tcBorders>
              <w:right w:val="nil"/>
            </w:tcBorders>
          </w:tcPr>
          <w:p w14:paraId="08542A84" w14:textId="77777777" w:rsidR="00C42CEA" w:rsidRPr="00665917" w:rsidRDefault="00C42CEA" w:rsidP="007660C0">
            <w:pPr>
              <w:spacing w:line="240" w:lineRule="atLeast"/>
              <w:rPr>
                <w:rFonts w:cs="Arial"/>
                <w:b/>
                <w:sz w:val="20"/>
                <w:szCs w:val="20"/>
              </w:rPr>
            </w:pPr>
            <w:r w:rsidRPr="00665917">
              <w:rPr>
                <w:sz w:val="20"/>
              </w:rPr>
              <w:t>7'6"</w:t>
            </w:r>
          </w:p>
        </w:tc>
        <w:tc>
          <w:tcPr>
            <w:tcW w:w="1448" w:type="dxa"/>
            <w:tcBorders>
              <w:left w:val="nil"/>
            </w:tcBorders>
          </w:tcPr>
          <w:p w14:paraId="08542A85" w14:textId="77777777" w:rsidR="00C42CEA" w:rsidRPr="00665917" w:rsidRDefault="00C42CEA" w:rsidP="007660C0">
            <w:pPr>
              <w:spacing w:line="240" w:lineRule="atLeast"/>
              <w:rPr>
                <w:rFonts w:cs="Arial"/>
                <w:b/>
                <w:sz w:val="20"/>
                <w:szCs w:val="20"/>
              </w:rPr>
            </w:pPr>
            <w:r w:rsidRPr="00665917">
              <w:rPr>
                <w:sz w:val="20"/>
              </w:rPr>
              <w:t>2,28 m</w:t>
            </w:r>
          </w:p>
        </w:tc>
      </w:tr>
      <w:tr w:rsidR="00C42CEA" w:rsidRPr="00665917" w14:paraId="08542A8C" w14:textId="77777777" w:rsidTr="007660C0">
        <w:tc>
          <w:tcPr>
            <w:tcW w:w="3544" w:type="dxa"/>
          </w:tcPr>
          <w:p w14:paraId="08542A87" w14:textId="77777777" w:rsidR="00C42CEA" w:rsidRPr="00665917" w:rsidRDefault="00C42CEA" w:rsidP="007660C0">
            <w:pPr>
              <w:spacing w:line="240" w:lineRule="atLeast"/>
              <w:rPr>
                <w:rFonts w:cs="Arial"/>
                <w:sz w:val="20"/>
                <w:szCs w:val="20"/>
              </w:rPr>
            </w:pPr>
            <w:r w:rsidRPr="00665917">
              <w:rPr>
                <w:sz w:val="20"/>
              </w:rPr>
              <w:t>Capacité</w:t>
            </w:r>
          </w:p>
        </w:tc>
        <w:tc>
          <w:tcPr>
            <w:tcW w:w="1559" w:type="dxa"/>
            <w:tcBorders>
              <w:right w:val="nil"/>
            </w:tcBorders>
          </w:tcPr>
          <w:p w14:paraId="08542A88" w14:textId="77777777" w:rsidR="00C42CEA" w:rsidRPr="00665917" w:rsidRDefault="00C42CEA" w:rsidP="007660C0">
            <w:pPr>
              <w:spacing w:line="240" w:lineRule="atLeast"/>
              <w:rPr>
                <w:rFonts w:cs="Arial"/>
                <w:b/>
                <w:sz w:val="20"/>
                <w:szCs w:val="20"/>
              </w:rPr>
            </w:pPr>
            <w:r w:rsidRPr="00665917">
              <w:rPr>
                <w:sz w:val="20"/>
              </w:rPr>
              <w:t>2,390 ft³</w:t>
            </w:r>
          </w:p>
        </w:tc>
        <w:tc>
          <w:tcPr>
            <w:tcW w:w="1560" w:type="dxa"/>
            <w:tcBorders>
              <w:left w:val="nil"/>
            </w:tcBorders>
          </w:tcPr>
          <w:p w14:paraId="08542A89" w14:textId="77777777" w:rsidR="00C42CEA" w:rsidRPr="00665917" w:rsidRDefault="00C42CEA" w:rsidP="007660C0">
            <w:pPr>
              <w:spacing w:line="240" w:lineRule="atLeast"/>
              <w:rPr>
                <w:rFonts w:cs="Arial"/>
                <w:b/>
                <w:sz w:val="20"/>
                <w:szCs w:val="20"/>
              </w:rPr>
            </w:pPr>
            <w:r w:rsidRPr="00665917">
              <w:rPr>
                <w:sz w:val="20"/>
              </w:rPr>
              <w:t>67,67 m³</w:t>
            </w:r>
          </w:p>
        </w:tc>
        <w:tc>
          <w:tcPr>
            <w:tcW w:w="1559" w:type="dxa"/>
            <w:tcBorders>
              <w:right w:val="nil"/>
            </w:tcBorders>
          </w:tcPr>
          <w:p w14:paraId="08542A8A" w14:textId="22AE5457" w:rsidR="00C42CEA" w:rsidRPr="00665917" w:rsidRDefault="0036669E" w:rsidP="007660C0">
            <w:pPr>
              <w:spacing w:line="240" w:lineRule="atLeast"/>
              <w:rPr>
                <w:rFonts w:cs="Arial"/>
                <w:b/>
                <w:sz w:val="20"/>
                <w:szCs w:val="20"/>
              </w:rPr>
            </w:pPr>
            <w:r w:rsidRPr="00665917">
              <w:rPr>
                <w:sz w:val="20"/>
              </w:rPr>
              <w:t>1 </w:t>
            </w:r>
            <w:r w:rsidR="00C42CEA" w:rsidRPr="00665917">
              <w:rPr>
                <w:sz w:val="20"/>
              </w:rPr>
              <w:t>172 ft³</w:t>
            </w:r>
          </w:p>
        </w:tc>
        <w:tc>
          <w:tcPr>
            <w:tcW w:w="1448" w:type="dxa"/>
            <w:tcBorders>
              <w:left w:val="nil"/>
            </w:tcBorders>
          </w:tcPr>
          <w:p w14:paraId="08542A8B" w14:textId="77777777" w:rsidR="00C42CEA" w:rsidRPr="00665917" w:rsidRDefault="00C42CEA" w:rsidP="007660C0">
            <w:pPr>
              <w:spacing w:line="240" w:lineRule="atLeast"/>
              <w:rPr>
                <w:rFonts w:cs="Arial"/>
                <w:b/>
                <w:sz w:val="20"/>
                <w:szCs w:val="20"/>
              </w:rPr>
            </w:pPr>
            <w:r w:rsidRPr="00665917">
              <w:rPr>
                <w:sz w:val="20"/>
              </w:rPr>
              <w:t>33,18 m³</w:t>
            </w:r>
          </w:p>
        </w:tc>
      </w:tr>
      <w:tr w:rsidR="00C42CEA" w:rsidRPr="00665917" w14:paraId="08542A92" w14:textId="77777777" w:rsidTr="007660C0">
        <w:tc>
          <w:tcPr>
            <w:tcW w:w="3544" w:type="dxa"/>
          </w:tcPr>
          <w:p w14:paraId="08542A8D" w14:textId="77777777" w:rsidR="00C42CEA" w:rsidRPr="00665917" w:rsidRDefault="00C42CEA" w:rsidP="007660C0">
            <w:pPr>
              <w:spacing w:line="240" w:lineRule="atLeast"/>
              <w:rPr>
                <w:rFonts w:cs="Arial"/>
                <w:sz w:val="20"/>
                <w:szCs w:val="20"/>
              </w:rPr>
            </w:pPr>
            <w:r w:rsidRPr="00665917">
              <w:rPr>
                <w:sz w:val="20"/>
              </w:rPr>
              <w:t>Tare</w:t>
            </w:r>
          </w:p>
        </w:tc>
        <w:tc>
          <w:tcPr>
            <w:tcW w:w="1559" w:type="dxa"/>
            <w:tcBorders>
              <w:right w:val="nil"/>
            </w:tcBorders>
          </w:tcPr>
          <w:p w14:paraId="08542A8E" w14:textId="20C7D7AC" w:rsidR="00C42CEA" w:rsidRPr="00665917" w:rsidRDefault="00C42CEA" w:rsidP="007660C0">
            <w:pPr>
              <w:spacing w:line="240" w:lineRule="atLeast"/>
              <w:rPr>
                <w:rFonts w:cs="Arial"/>
                <w:b/>
                <w:sz w:val="20"/>
                <w:szCs w:val="20"/>
              </w:rPr>
            </w:pPr>
            <w:r w:rsidRPr="00665917">
              <w:rPr>
                <w:sz w:val="20"/>
              </w:rPr>
              <w:t>8</w:t>
            </w:r>
            <w:r w:rsidR="0036669E" w:rsidRPr="00665917">
              <w:rPr>
                <w:sz w:val="20"/>
              </w:rPr>
              <w:t> </w:t>
            </w:r>
            <w:r w:rsidRPr="00665917">
              <w:rPr>
                <w:sz w:val="20"/>
              </w:rPr>
              <w:t>160 lb</w:t>
            </w:r>
            <w:r w:rsidRPr="00665917">
              <w:rPr>
                <w:sz w:val="20"/>
                <w:vertAlign w:val="superscript"/>
              </w:rPr>
              <w:footnoteReference w:id="2"/>
            </w:r>
          </w:p>
        </w:tc>
        <w:tc>
          <w:tcPr>
            <w:tcW w:w="1560" w:type="dxa"/>
            <w:tcBorders>
              <w:left w:val="nil"/>
            </w:tcBorders>
          </w:tcPr>
          <w:p w14:paraId="08542A8F" w14:textId="55B5F9EE" w:rsidR="00C42CEA" w:rsidRPr="00665917" w:rsidRDefault="00C42CEA" w:rsidP="007660C0">
            <w:pPr>
              <w:spacing w:line="240" w:lineRule="atLeast"/>
              <w:rPr>
                <w:rFonts w:cs="Arial"/>
                <w:b/>
                <w:sz w:val="20"/>
                <w:szCs w:val="20"/>
              </w:rPr>
            </w:pPr>
            <w:r w:rsidRPr="00665917">
              <w:rPr>
                <w:sz w:val="20"/>
              </w:rPr>
              <w:t>3</w:t>
            </w:r>
            <w:r w:rsidR="0036669E" w:rsidRPr="00665917">
              <w:rPr>
                <w:sz w:val="20"/>
              </w:rPr>
              <w:t> </w:t>
            </w:r>
            <w:r w:rsidRPr="00665917">
              <w:rPr>
                <w:sz w:val="20"/>
              </w:rPr>
              <w:t>701 kg</w:t>
            </w:r>
          </w:p>
        </w:tc>
        <w:tc>
          <w:tcPr>
            <w:tcW w:w="1559" w:type="dxa"/>
            <w:tcBorders>
              <w:right w:val="nil"/>
            </w:tcBorders>
          </w:tcPr>
          <w:p w14:paraId="08542A90" w14:textId="640A69E1" w:rsidR="00C42CEA" w:rsidRPr="00665917" w:rsidRDefault="00C42CEA" w:rsidP="007660C0">
            <w:pPr>
              <w:spacing w:line="240" w:lineRule="atLeast"/>
              <w:rPr>
                <w:rFonts w:cs="Arial"/>
                <w:b/>
                <w:sz w:val="20"/>
                <w:szCs w:val="20"/>
              </w:rPr>
            </w:pPr>
            <w:r w:rsidRPr="00665917">
              <w:rPr>
                <w:sz w:val="20"/>
              </w:rPr>
              <w:t>4</w:t>
            </w:r>
            <w:r w:rsidR="0036669E" w:rsidRPr="00665917">
              <w:rPr>
                <w:sz w:val="20"/>
              </w:rPr>
              <w:t> </w:t>
            </w:r>
            <w:r w:rsidRPr="00665917">
              <w:rPr>
                <w:sz w:val="20"/>
              </w:rPr>
              <w:t>916 lb</w:t>
            </w:r>
          </w:p>
        </w:tc>
        <w:tc>
          <w:tcPr>
            <w:tcW w:w="1448" w:type="dxa"/>
            <w:tcBorders>
              <w:left w:val="nil"/>
            </w:tcBorders>
          </w:tcPr>
          <w:p w14:paraId="08542A91" w14:textId="23EFF864" w:rsidR="00C42CEA" w:rsidRPr="00665917" w:rsidRDefault="00C42CEA" w:rsidP="007660C0">
            <w:pPr>
              <w:spacing w:line="240" w:lineRule="atLeast"/>
              <w:rPr>
                <w:rFonts w:cs="Arial"/>
                <w:b/>
                <w:sz w:val="20"/>
                <w:szCs w:val="20"/>
              </w:rPr>
            </w:pPr>
            <w:r w:rsidRPr="00665917">
              <w:rPr>
                <w:sz w:val="20"/>
              </w:rPr>
              <w:t>2</w:t>
            </w:r>
            <w:r w:rsidR="0036669E" w:rsidRPr="00665917">
              <w:rPr>
                <w:sz w:val="20"/>
              </w:rPr>
              <w:t> </w:t>
            </w:r>
            <w:r w:rsidRPr="00665917">
              <w:rPr>
                <w:sz w:val="20"/>
              </w:rPr>
              <w:t>229 kg</w:t>
            </w:r>
          </w:p>
        </w:tc>
      </w:tr>
      <w:tr w:rsidR="00C42CEA" w:rsidRPr="00665917" w14:paraId="08542A98" w14:textId="77777777" w:rsidTr="007660C0">
        <w:tc>
          <w:tcPr>
            <w:tcW w:w="3544" w:type="dxa"/>
          </w:tcPr>
          <w:p w14:paraId="08542A93" w14:textId="77777777" w:rsidR="00C42CEA" w:rsidRPr="00665917" w:rsidRDefault="00C42CEA" w:rsidP="007660C0">
            <w:pPr>
              <w:spacing w:line="240" w:lineRule="atLeast"/>
              <w:rPr>
                <w:rFonts w:cs="Arial"/>
                <w:sz w:val="20"/>
                <w:szCs w:val="20"/>
              </w:rPr>
            </w:pPr>
            <w:r w:rsidRPr="00665917">
              <w:rPr>
                <w:sz w:val="20"/>
              </w:rPr>
              <w:t>Cargaison maximale</w:t>
            </w:r>
          </w:p>
        </w:tc>
        <w:tc>
          <w:tcPr>
            <w:tcW w:w="1559" w:type="dxa"/>
            <w:tcBorders>
              <w:right w:val="nil"/>
            </w:tcBorders>
          </w:tcPr>
          <w:p w14:paraId="08542A94" w14:textId="229D5AD6" w:rsidR="00C42CEA" w:rsidRPr="00665917" w:rsidRDefault="00C42CEA" w:rsidP="007660C0">
            <w:pPr>
              <w:spacing w:line="240" w:lineRule="atLeast"/>
              <w:rPr>
                <w:rFonts w:cs="Arial"/>
                <w:b/>
                <w:sz w:val="20"/>
                <w:szCs w:val="20"/>
              </w:rPr>
            </w:pPr>
            <w:r w:rsidRPr="00665917">
              <w:rPr>
                <w:sz w:val="20"/>
              </w:rPr>
              <w:t>59</w:t>
            </w:r>
            <w:r w:rsidR="0036669E" w:rsidRPr="00665917">
              <w:rPr>
                <w:sz w:val="20"/>
              </w:rPr>
              <w:t> </w:t>
            </w:r>
            <w:r w:rsidRPr="00665917">
              <w:rPr>
                <w:sz w:val="20"/>
              </w:rPr>
              <w:t>040 lb</w:t>
            </w:r>
          </w:p>
        </w:tc>
        <w:tc>
          <w:tcPr>
            <w:tcW w:w="1560" w:type="dxa"/>
            <w:tcBorders>
              <w:left w:val="nil"/>
            </w:tcBorders>
          </w:tcPr>
          <w:p w14:paraId="08542A95" w14:textId="1B5EECA3" w:rsidR="00C42CEA" w:rsidRPr="00665917" w:rsidRDefault="00C42CEA" w:rsidP="007660C0">
            <w:pPr>
              <w:spacing w:line="240" w:lineRule="atLeast"/>
              <w:rPr>
                <w:rFonts w:cs="Arial"/>
                <w:b/>
                <w:sz w:val="20"/>
                <w:szCs w:val="20"/>
              </w:rPr>
            </w:pPr>
            <w:r w:rsidRPr="00665917">
              <w:rPr>
                <w:sz w:val="20"/>
              </w:rPr>
              <w:t>26</w:t>
            </w:r>
            <w:r w:rsidR="0036669E" w:rsidRPr="00665917">
              <w:rPr>
                <w:sz w:val="20"/>
              </w:rPr>
              <w:t> </w:t>
            </w:r>
            <w:r w:rsidRPr="00665917">
              <w:rPr>
                <w:sz w:val="20"/>
              </w:rPr>
              <w:t>780 kg</w:t>
            </w:r>
          </w:p>
        </w:tc>
        <w:tc>
          <w:tcPr>
            <w:tcW w:w="1559" w:type="dxa"/>
            <w:tcBorders>
              <w:right w:val="nil"/>
            </w:tcBorders>
          </w:tcPr>
          <w:p w14:paraId="08542A96" w14:textId="7B9AAB84" w:rsidR="00C42CEA" w:rsidRPr="00665917" w:rsidRDefault="00C42CEA" w:rsidP="0036669E">
            <w:pPr>
              <w:spacing w:line="240" w:lineRule="atLeast"/>
              <w:rPr>
                <w:rFonts w:cs="Arial"/>
                <w:b/>
                <w:sz w:val="20"/>
                <w:szCs w:val="20"/>
              </w:rPr>
            </w:pPr>
            <w:r w:rsidRPr="00665917">
              <w:rPr>
                <w:sz w:val="20"/>
              </w:rPr>
              <w:t>47</w:t>
            </w:r>
            <w:r w:rsidR="0036669E" w:rsidRPr="00665917">
              <w:rPr>
                <w:sz w:val="20"/>
              </w:rPr>
              <w:t> </w:t>
            </w:r>
            <w:r w:rsidRPr="00665917">
              <w:rPr>
                <w:sz w:val="20"/>
              </w:rPr>
              <w:t>999 lb</w:t>
            </w:r>
          </w:p>
        </w:tc>
        <w:tc>
          <w:tcPr>
            <w:tcW w:w="1448" w:type="dxa"/>
            <w:tcBorders>
              <w:left w:val="nil"/>
            </w:tcBorders>
          </w:tcPr>
          <w:p w14:paraId="08542A97" w14:textId="7E3C6763" w:rsidR="00C42CEA" w:rsidRPr="00665917" w:rsidRDefault="00C42CEA" w:rsidP="007660C0">
            <w:pPr>
              <w:spacing w:line="240" w:lineRule="atLeast"/>
              <w:rPr>
                <w:rFonts w:cs="Arial"/>
                <w:b/>
                <w:sz w:val="20"/>
                <w:szCs w:val="20"/>
              </w:rPr>
            </w:pPr>
            <w:r w:rsidRPr="00665917">
              <w:rPr>
                <w:sz w:val="20"/>
              </w:rPr>
              <w:t>21</w:t>
            </w:r>
            <w:r w:rsidR="0036669E" w:rsidRPr="00665917">
              <w:rPr>
                <w:sz w:val="20"/>
              </w:rPr>
              <w:t> </w:t>
            </w:r>
            <w:r w:rsidRPr="00665917">
              <w:rPr>
                <w:sz w:val="20"/>
              </w:rPr>
              <w:t>727 kg</w:t>
            </w:r>
          </w:p>
        </w:tc>
      </w:tr>
    </w:tbl>
    <w:p w14:paraId="08542A99" w14:textId="77777777" w:rsidR="00C42CEA" w:rsidRPr="00665917" w:rsidRDefault="00C42CEA" w:rsidP="00C42CEA">
      <w:pPr>
        <w:rPr>
          <w:b/>
        </w:rPr>
      </w:pPr>
    </w:p>
    <w:p w14:paraId="3DD0EF55" w14:textId="77777777" w:rsidR="003A1475" w:rsidRPr="00665917" w:rsidRDefault="003A1475" w:rsidP="00C42CEA">
      <w:pPr>
        <w:rPr>
          <w:i/>
        </w:rPr>
      </w:pPr>
    </w:p>
    <w:p w14:paraId="10EE715F" w14:textId="77777777" w:rsidR="003A1475" w:rsidRPr="00665917" w:rsidRDefault="003A1475" w:rsidP="00C42CEA">
      <w:pPr>
        <w:rPr>
          <w:b/>
          <w:sz w:val="22"/>
        </w:rPr>
      </w:pPr>
    </w:p>
    <w:p w14:paraId="08542A9E" w14:textId="77777777" w:rsidR="00C42CEA" w:rsidRPr="00665917" w:rsidRDefault="002F2493" w:rsidP="00C42CEA">
      <w:pPr>
        <w:rPr>
          <w:b/>
          <w:sz w:val="22"/>
        </w:rPr>
      </w:pPr>
      <w:r w:rsidRPr="00665917">
        <w:rPr>
          <w:b/>
          <w:sz w:val="22"/>
        </w:rPr>
        <w:t>Liste des articles et entreposage</w:t>
      </w:r>
    </w:p>
    <w:p w14:paraId="08542AA0" w14:textId="77777777" w:rsidR="00C42CEA" w:rsidRPr="00665917" w:rsidRDefault="00C42CEA" w:rsidP="00C42CEA">
      <w:pPr>
        <w:rPr>
          <w:b/>
          <w:sz w:val="20"/>
          <w:szCs w:val="20"/>
        </w:rPr>
      </w:pPr>
      <w:r w:rsidRPr="00665917">
        <w:rPr>
          <w:b/>
          <w:sz w:val="20"/>
        </w:rPr>
        <w:t>Inventaire/liste des articles</w:t>
      </w:r>
    </w:p>
    <w:p w14:paraId="08542AA1" w14:textId="38FADD17" w:rsidR="00C42CEA" w:rsidRPr="00665917" w:rsidRDefault="00C42CEA" w:rsidP="00C42CEA">
      <w:pPr>
        <w:rPr>
          <w:iCs/>
          <w:sz w:val="20"/>
          <w:szCs w:val="20"/>
        </w:rPr>
      </w:pPr>
      <w:r w:rsidRPr="00665917">
        <w:rPr>
          <w:sz w:val="20"/>
        </w:rPr>
        <w:t>Voici quelques lignes directrices concernant la façon de gérer les stocks et les listes d'articles La liste d'articles doit contenir tous les articles représentant une valeur initiale (cette valeur initiale est une valeur prédéfinie, par exemple 400</w:t>
      </w:r>
      <w:r w:rsidR="0036669E" w:rsidRPr="00665917">
        <w:rPr>
          <w:sz w:val="20"/>
        </w:rPr>
        <w:t> €</w:t>
      </w:r>
      <w:r w:rsidRPr="00665917">
        <w:rPr>
          <w:sz w:val="20"/>
        </w:rPr>
        <w:t xml:space="preserve"> selon le contexte) ou de tout article attrayant ou facilement négociables tels que le GPS, les appareils photo, les équipements de communication et informatiques. </w:t>
      </w:r>
    </w:p>
    <w:p w14:paraId="08542AA2" w14:textId="77777777" w:rsidR="00C42CEA" w:rsidRPr="00665917" w:rsidRDefault="00C42CEA" w:rsidP="00C42CEA">
      <w:pPr>
        <w:rPr>
          <w:iCs/>
          <w:sz w:val="20"/>
          <w:szCs w:val="20"/>
        </w:rPr>
      </w:pPr>
    </w:p>
    <w:p w14:paraId="08542AA3" w14:textId="28B6FB95" w:rsidR="00C42CEA" w:rsidRPr="00665917" w:rsidRDefault="00C42CEA" w:rsidP="00C42CEA">
      <w:pPr>
        <w:rPr>
          <w:iCs/>
          <w:sz w:val="20"/>
          <w:szCs w:val="20"/>
        </w:rPr>
      </w:pPr>
      <w:r w:rsidRPr="00665917">
        <w:rPr>
          <w:sz w:val="20"/>
        </w:rPr>
        <w:t>Une liste des articles doit contenir les informations suivantes</w:t>
      </w:r>
      <w:r w:rsidR="0036669E" w:rsidRPr="00665917">
        <w:rPr>
          <w:sz w:val="20"/>
        </w:rPr>
        <w:t> :</w:t>
      </w:r>
    </w:p>
    <w:p w14:paraId="08542AA4" w14:textId="77777777" w:rsidR="00C42CEA" w:rsidRPr="00665917" w:rsidRDefault="00C42CEA" w:rsidP="00C42CEA">
      <w:pPr>
        <w:pStyle w:val="Punktopstilling-opremsning"/>
        <w:rPr>
          <w:sz w:val="20"/>
          <w:szCs w:val="20"/>
        </w:rPr>
      </w:pPr>
      <w:r w:rsidRPr="00665917">
        <w:rPr>
          <w:sz w:val="20"/>
        </w:rPr>
        <w:t xml:space="preserve">Numéro sur la liste (toutes les entrées ont leur propre numéro qui ne change pas) </w:t>
      </w:r>
    </w:p>
    <w:p w14:paraId="08542AA5" w14:textId="77777777" w:rsidR="00C42CEA" w:rsidRPr="00665917" w:rsidRDefault="00C42CEA" w:rsidP="00C42CEA">
      <w:pPr>
        <w:pStyle w:val="Punktopstilling-opremsning"/>
        <w:rPr>
          <w:sz w:val="20"/>
          <w:szCs w:val="20"/>
        </w:rPr>
      </w:pPr>
      <w:r w:rsidRPr="00665917">
        <w:rPr>
          <w:sz w:val="20"/>
        </w:rPr>
        <w:t xml:space="preserve">Article (par exemple 4x4, détecteur de mines, table de bureau, radio, etc.) </w:t>
      </w:r>
    </w:p>
    <w:p w14:paraId="08542AA6" w14:textId="77777777" w:rsidR="00C42CEA" w:rsidRPr="00665917" w:rsidRDefault="00C42CEA" w:rsidP="00C42CEA">
      <w:pPr>
        <w:pStyle w:val="Punktopstilling-opremsning"/>
        <w:rPr>
          <w:sz w:val="20"/>
          <w:szCs w:val="20"/>
        </w:rPr>
      </w:pPr>
      <w:r w:rsidRPr="00665917">
        <w:rPr>
          <w:sz w:val="20"/>
        </w:rPr>
        <w:t xml:space="preserve">Nom de marque </w:t>
      </w:r>
    </w:p>
    <w:p w14:paraId="08542AA7" w14:textId="77777777" w:rsidR="00C42CEA" w:rsidRPr="00665917" w:rsidRDefault="00C42CEA" w:rsidP="00C42CEA">
      <w:pPr>
        <w:pStyle w:val="Punktopstilling-opremsning"/>
        <w:rPr>
          <w:sz w:val="20"/>
          <w:szCs w:val="20"/>
        </w:rPr>
      </w:pPr>
      <w:r w:rsidRPr="00665917">
        <w:rPr>
          <w:sz w:val="20"/>
        </w:rPr>
        <w:t xml:space="preserve">Type/modèle </w:t>
      </w:r>
    </w:p>
    <w:p w14:paraId="08542AA8" w14:textId="77777777" w:rsidR="00C42CEA" w:rsidRPr="00665917" w:rsidRDefault="00C42CEA" w:rsidP="00C42CEA">
      <w:pPr>
        <w:pStyle w:val="Punktopstilling-opremsning"/>
        <w:rPr>
          <w:sz w:val="20"/>
          <w:szCs w:val="20"/>
        </w:rPr>
      </w:pPr>
      <w:r w:rsidRPr="00665917">
        <w:rPr>
          <w:sz w:val="20"/>
        </w:rPr>
        <w:t xml:space="preserve">Numéro de série </w:t>
      </w:r>
    </w:p>
    <w:p w14:paraId="08542AA9" w14:textId="77777777" w:rsidR="00C42CEA" w:rsidRPr="00665917" w:rsidRDefault="00C42CEA" w:rsidP="00C42CEA">
      <w:pPr>
        <w:pStyle w:val="Punktopstilling-opremsning"/>
        <w:rPr>
          <w:sz w:val="20"/>
          <w:szCs w:val="20"/>
        </w:rPr>
      </w:pPr>
      <w:r w:rsidRPr="00665917">
        <w:rPr>
          <w:sz w:val="20"/>
        </w:rPr>
        <w:t xml:space="preserve">Date d'achat </w:t>
      </w:r>
    </w:p>
    <w:p w14:paraId="08542AAA" w14:textId="77777777" w:rsidR="00C42CEA" w:rsidRPr="00665917" w:rsidRDefault="00C42CEA" w:rsidP="00C42CEA">
      <w:pPr>
        <w:pStyle w:val="Punktopstilling-opremsning"/>
        <w:rPr>
          <w:sz w:val="20"/>
          <w:szCs w:val="20"/>
        </w:rPr>
      </w:pPr>
      <w:r w:rsidRPr="00665917">
        <w:rPr>
          <w:sz w:val="20"/>
        </w:rPr>
        <w:t xml:space="preserve">Nom du donateur </w:t>
      </w:r>
    </w:p>
    <w:p w14:paraId="08542AAB" w14:textId="77777777" w:rsidR="00C42CEA" w:rsidRPr="00665917" w:rsidRDefault="00C42CEA" w:rsidP="00C42CEA">
      <w:pPr>
        <w:pStyle w:val="Punktopstilling-opremsning"/>
        <w:rPr>
          <w:sz w:val="20"/>
          <w:szCs w:val="20"/>
        </w:rPr>
      </w:pPr>
      <w:r w:rsidRPr="00665917">
        <w:rPr>
          <w:sz w:val="20"/>
        </w:rPr>
        <w:t xml:space="preserve">Lieu actuel </w:t>
      </w:r>
    </w:p>
    <w:p w14:paraId="08542AAC" w14:textId="77777777" w:rsidR="00C42CEA" w:rsidRPr="00665917" w:rsidRDefault="00C42CEA" w:rsidP="00C42CEA">
      <w:pPr>
        <w:pStyle w:val="Punktopstilling-opremsning"/>
        <w:rPr>
          <w:sz w:val="20"/>
          <w:szCs w:val="20"/>
        </w:rPr>
      </w:pPr>
      <w:r w:rsidRPr="00665917">
        <w:rPr>
          <w:sz w:val="20"/>
        </w:rPr>
        <w:t xml:space="preserve">En cours d'utilisation/en stock/en cours de réparation/déchargé de </w:t>
      </w:r>
    </w:p>
    <w:p w14:paraId="08542AAD" w14:textId="07AB25F2" w:rsidR="00C42CEA" w:rsidRPr="00665917" w:rsidRDefault="00C42CEA" w:rsidP="00C42CEA">
      <w:pPr>
        <w:pStyle w:val="Punktopstilling-opremsning"/>
        <w:rPr>
          <w:sz w:val="20"/>
          <w:szCs w:val="20"/>
        </w:rPr>
      </w:pPr>
      <w:r w:rsidRPr="00665917">
        <w:rPr>
          <w:sz w:val="20"/>
        </w:rPr>
        <w:t>Si déchargé de - de quelle façon (par exemple, donné</w:t>
      </w:r>
      <w:r w:rsidR="0036669E" w:rsidRPr="00665917">
        <w:rPr>
          <w:sz w:val="20"/>
        </w:rPr>
        <w:t> ;</w:t>
      </w:r>
      <w:r w:rsidRPr="00665917">
        <w:rPr>
          <w:sz w:val="20"/>
        </w:rPr>
        <w:t xml:space="preserve"> exporté vers où</w:t>
      </w:r>
      <w:r w:rsidR="0036669E" w:rsidRPr="00665917">
        <w:rPr>
          <w:sz w:val="20"/>
        </w:rPr>
        <w:t> ;</w:t>
      </w:r>
      <w:r w:rsidRPr="00665917">
        <w:rPr>
          <w:sz w:val="20"/>
        </w:rPr>
        <w:t xml:space="preserve"> expulsé) </w:t>
      </w:r>
    </w:p>
    <w:p w14:paraId="08542AAE" w14:textId="77777777" w:rsidR="00C42CEA" w:rsidRPr="00665917" w:rsidRDefault="00C42CEA" w:rsidP="00C42CEA">
      <w:pPr>
        <w:rPr>
          <w:iCs/>
          <w:sz w:val="20"/>
          <w:szCs w:val="20"/>
        </w:rPr>
      </w:pPr>
    </w:p>
    <w:p w14:paraId="08542AAF" w14:textId="77777777" w:rsidR="00C42CEA" w:rsidRPr="00665917" w:rsidRDefault="00C42CEA" w:rsidP="00C42CEA">
      <w:pPr>
        <w:rPr>
          <w:iCs/>
          <w:sz w:val="20"/>
          <w:szCs w:val="20"/>
        </w:rPr>
      </w:pPr>
    </w:p>
    <w:p w14:paraId="08542AB0" w14:textId="77777777" w:rsidR="00C42CEA" w:rsidRPr="00665917" w:rsidRDefault="00C42CEA" w:rsidP="00C42CEA">
      <w:pPr>
        <w:rPr>
          <w:b/>
          <w:sz w:val="20"/>
          <w:szCs w:val="20"/>
        </w:rPr>
      </w:pPr>
      <w:r w:rsidRPr="00665917">
        <w:rPr>
          <w:b/>
          <w:sz w:val="20"/>
        </w:rPr>
        <w:t xml:space="preserve">Entreposage/stockage </w:t>
      </w:r>
    </w:p>
    <w:p w14:paraId="08542AB1" w14:textId="157CAD84" w:rsidR="00C42CEA" w:rsidRPr="00665917" w:rsidRDefault="00C42CEA" w:rsidP="00C42CEA">
      <w:pPr>
        <w:rPr>
          <w:iCs/>
          <w:sz w:val="20"/>
          <w:szCs w:val="20"/>
        </w:rPr>
      </w:pPr>
      <w:r w:rsidRPr="00665917">
        <w:rPr>
          <w:sz w:val="20"/>
        </w:rPr>
        <w:t>Pour les produits ayant une durée de vie limitée, il faut veiller à ce que les plus anciens soient utilisés en premier (premier entré/premier sorti). Cependant, vérifiez toujours la date d'expiration. Cela vaut, par exemple pour les médicaments et les batteries, l'utilisation récente/distribution de marchandises périmées. En même temps, il est très important que les produits qui ont dépassé la date d'expiration ne so</w:t>
      </w:r>
      <w:r w:rsidR="0036669E" w:rsidRPr="00665917">
        <w:rPr>
          <w:sz w:val="20"/>
        </w:rPr>
        <w:t>ie</w:t>
      </w:r>
      <w:r w:rsidRPr="00665917">
        <w:rPr>
          <w:sz w:val="20"/>
        </w:rPr>
        <w:t xml:space="preserve">nt pas éliminés par des moyens illégaux ou des moyens qui mettent en danger la population locale, l'environnement ou </w:t>
      </w:r>
      <w:r w:rsidR="0036669E" w:rsidRPr="00665917">
        <w:rPr>
          <w:sz w:val="20"/>
        </w:rPr>
        <w:t>aient tout autre impact</w:t>
      </w:r>
      <w:r w:rsidRPr="00665917">
        <w:rPr>
          <w:sz w:val="20"/>
        </w:rPr>
        <w:t>.</w:t>
      </w:r>
    </w:p>
    <w:p w14:paraId="08542AB2" w14:textId="77777777" w:rsidR="00C42CEA" w:rsidRPr="00665917" w:rsidRDefault="00C42CEA" w:rsidP="00C42CEA">
      <w:pPr>
        <w:rPr>
          <w:iCs/>
          <w:sz w:val="20"/>
          <w:szCs w:val="20"/>
        </w:rPr>
      </w:pPr>
    </w:p>
    <w:p w14:paraId="08542AB3" w14:textId="02DDF090" w:rsidR="00C42CEA" w:rsidRPr="00665917" w:rsidRDefault="00C42CEA" w:rsidP="00C42CEA">
      <w:pPr>
        <w:rPr>
          <w:iCs/>
          <w:sz w:val="20"/>
          <w:szCs w:val="20"/>
        </w:rPr>
      </w:pPr>
      <w:r w:rsidRPr="00665917">
        <w:rPr>
          <w:sz w:val="20"/>
        </w:rPr>
        <w:t>En cas de besoin d'entreposage/d'installations de stockage, envisagez les mesures suivantes</w:t>
      </w:r>
      <w:r w:rsidR="0036669E" w:rsidRPr="00665917">
        <w:rPr>
          <w:sz w:val="20"/>
        </w:rPr>
        <w:t> :</w:t>
      </w:r>
    </w:p>
    <w:p w14:paraId="08542AB4" w14:textId="77777777" w:rsidR="00C42CEA" w:rsidRPr="00665917" w:rsidRDefault="00C42CEA" w:rsidP="0036669E">
      <w:pPr>
        <w:pStyle w:val="ListParagraph"/>
        <w:numPr>
          <w:ilvl w:val="0"/>
          <w:numId w:val="3"/>
        </w:numPr>
        <w:ind w:left="238" w:hanging="238"/>
        <w:rPr>
          <w:iCs/>
          <w:sz w:val="20"/>
          <w:szCs w:val="20"/>
        </w:rPr>
      </w:pPr>
      <w:r w:rsidRPr="00665917">
        <w:rPr>
          <w:sz w:val="20"/>
        </w:rPr>
        <w:t>Spécifications de l'entrepôt (construction, emplacement, etc.)</w:t>
      </w:r>
    </w:p>
    <w:p w14:paraId="08542AB5" w14:textId="7D221891" w:rsidR="00C42CEA" w:rsidRPr="00665917" w:rsidRDefault="0036669E" w:rsidP="00C42CEA">
      <w:pPr>
        <w:pStyle w:val="Punktopstilling-opremsning"/>
        <w:rPr>
          <w:sz w:val="20"/>
          <w:szCs w:val="20"/>
        </w:rPr>
      </w:pPr>
      <w:r w:rsidRPr="00665917">
        <w:rPr>
          <w:sz w:val="20"/>
        </w:rPr>
        <w:t>Réception</w:t>
      </w:r>
      <w:r w:rsidR="00C42CEA" w:rsidRPr="00665917">
        <w:rPr>
          <w:sz w:val="20"/>
        </w:rPr>
        <w:t xml:space="preserve"> des équipements/fournitures</w:t>
      </w:r>
    </w:p>
    <w:p w14:paraId="08542AB6" w14:textId="77777777" w:rsidR="00C42CEA" w:rsidRPr="00665917" w:rsidRDefault="00C42CEA" w:rsidP="00C42CEA">
      <w:pPr>
        <w:pStyle w:val="Punktopstilling-opremsning"/>
        <w:rPr>
          <w:sz w:val="20"/>
          <w:szCs w:val="20"/>
        </w:rPr>
      </w:pPr>
      <w:r w:rsidRPr="00665917">
        <w:rPr>
          <w:sz w:val="20"/>
        </w:rPr>
        <w:t>Système de gestion de stock</w:t>
      </w:r>
    </w:p>
    <w:p w14:paraId="08542AB7" w14:textId="77777777" w:rsidR="00C42CEA" w:rsidRPr="00665917" w:rsidRDefault="00C42CEA" w:rsidP="00C42CEA">
      <w:pPr>
        <w:pStyle w:val="Punktopstilling-opremsning"/>
        <w:rPr>
          <w:sz w:val="20"/>
          <w:szCs w:val="20"/>
        </w:rPr>
      </w:pPr>
      <w:r w:rsidRPr="00665917">
        <w:rPr>
          <w:sz w:val="20"/>
        </w:rPr>
        <w:t xml:space="preserve">Établissement de l'inventaire </w:t>
      </w:r>
    </w:p>
    <w:p w14:paraId="08542AB8" w14:textId="77777777" w:rsidR="00C42CEA" w:rsidRPr="00665917" w:rsidRDefault="00C42CEA" w:rsidP="00C42CEA">
      <w:pPr>
        <w:pStyle w:val="Punktopstilling-opremsning"/>
        <w:rPr>
          <w:sz w:val="20"/>
          <w:szCs w:val="20"/>
        </w:rPr>
      </w:pPr>
      <w:r w:rsidRPr="00665917">
        <w:rPr>
          <w:sz w:val="20"/>
        </w:rPr>
        <w:t>Systèmes de stockage</w:t>
      </w:r>
    </w:p>
    <w:p w14:paraId="08542AB9" w14:textId="77777777" w:rsidR="00C42CEA" w:rsidRPr="00665917" w:rsidRDefault="00C42CEA" w:rsidP="00C42CEA">
      <w:pPr>
        <w:pStyle w:val="Punktopstilling-opremsning"/>
        <w:rPr>
          <w:sz w:val="20"/>
          <w:szCs w:val="20"/>
        </w:rPr>
      </w:pPr>
      <w:r w:rsidRPr="00665917">
        <w:rPr>
          <w:sz w:val="20"/>
        </w:rPr>
        <w:t xml:space="preserve">Questions de personnel (par exemple, lignes directrices de santé et de sécurité - consultez le chapitre 10. Sûreté et sécurité) </w:t>
      </w:r>
    </w:p>
    <w:p w14:paraId="08542ABA" w14:textId="77777777" w:rsidR="00C42CEA" w:rsidRPr="00665917" w:rsidRDefault="00C42CEA" w:rsidP="00C42CEA">
      <w:pPr>
        <w:pStyle w:val="Punktopstilling-opremsning"/>
        <w:rPr>
          <w:sz w:val="20"/>
          <w:szCs w:val="20"/>
        </w:rPr>
      </w:pPr>
      <w:r w:rsidRPr="00665917">
        <w:rPr>
          <w:sz w:val="20"/>
        </w:rPr>
        <w:t>Routines de nettoyage</w:t>
      </w:r>
    </w:p>
    <w:p w14:paraId="08542ABB" w14:textId="77777777" w:rsidR="00243B78" w:rsidRPr="00665917" w:rsidRDefault="00243B78">
      <w:pPr>
        <w:rPr>
          <w:sz w:val="20"/>
          <w:szCs w:val="20"/>
        </w:rPr>
      </w:pPr>
    </w:p>
    <w:sectPr w:rsidR="00243B78" w:rsidRPr="00665917" w:rsidSect="00243B78">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5052" w14:textId="77777777" w:rsidR="00D91D7F" w:rsidRDefault="00D91D7F" w:rsidP="00C42CEA">
      <w:pPr>
        <w:spacing w:line="240" w:lineRule="auto"/>
      </w:pPr>
      <w:r>
        <w:separator/>
      </w:r>
    </w:p>
  </w:endnote>
  <w:endnote w:type="continuationSeparator" w:id="0">
    <w:p w14:paraId="0D7130A1" w14:textId="77777777" w:rsidR="00D91D7F" w:rsidRDefault="00D91D7F" w:rsidP="00C42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D2FC" w14:textId="77777777" w:rsidR="009A2E55" w:rsidRDefault="009A2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402803"/>
      <w:docPartObj>
        <w:docPartGallery w:val="Page Numbers (Bottom of Page)"/>
        <w:docPartUnique/>
      </w:docPartObj>
    </w:sdtPr>
    <w:sdtEndPr>
      <w:rPr>
        <w:noProof/>
      </w:rPr>
    </w:sdtEndPr>
    <w:sdtContent>
      <w:p w14:paraId="487F3D5C" w14:textId="3649432A" w:rsidR="00F765CA" w:rsidRDefault="00F765CA" w:rsidP="00470AF7">
        <w:pPr>
          <w:pStyle w:val="Footer"/>
          <w:jc w:val="right"/>
          <w:rPr>
            <w:rFonts w:ascii="Calibri" w:hAnsi="Calibri"/>
            <w:sz w:val="22"/>
          </w:rPr>
        </w:pPr>
        <w:r>
          <w:rPr>
            <w:rFonts w:ascii="Calibri" w:hAnsi="Calibri"/>
            <w:bCs/>
            <w:sz w:val="22"/>
          </w:rPr>
          <w:fldChar w:fldCharType="begin"/>
        </w:r>
        <w:r>
          <w:rPr>
            <w:rFonts w:ascii="Calibri" w:hAnsi="Calibri"/>
            <w:bCs/>
            <w:sz w:val="22"/>
          </w:rPr>
          <w:instrText xml:space="preserve"> PAGE </w:instrText>
        </w:r>
        <w:r>
          <w:rPr>
            <w:rFonts w:ascii="Calibri" w:hAnsi="Calibri"/>
            <w:bCs/>
            <w:sz w:val="22"/>
          </w:rPr>
          <w:fldChar w:fldCharType="separate"/>
        </w:r>
        <w:r w:rsidR="00E9099F">
          <w:rPr>
            <w:rFonts w:ascii="Calibri" w:hAnsi="Calibri"/>
            <w:bCs/>
            <w:noProof/>
            <w:sz w:val="22"/>
          </w:rPr>
          <w:t>4</w:t>
        </w:r>
        <w:r>
          <w:rPr>
            <w:rFonts w:ascii="Calibri" w:hAnsi="Calibri"/>
            <w:bCs/>
            <w:sz w:val="22"/>
          </w:rPr>
          <w:fldChar w:fldCharType="end"/>
        </w:r>
        <w:r w:rsidR="00470AF7">
          <w:rPr>
            <w:rFonts w:ascii="Calibri" w:hAnsi="Calibri"/>
            <w:sz w:val="22"/>
          </w:rPr>
          <w:t xml:space="preserve"> / </w:t>
        </w:r>
        <w:r>
          <w:rPr>
            <w:rFonts w:ascii="Calibri" w:hAnsi="Calibri"/>
            <w:bCs/>
            <w:sz w:val="22"/>
          </w:rPr>
          <w:fldChar w:fldCharType="begin"/>
        </w:r>
        <w:r>
          <w:rPr>
            <w:rFonts w:ascii="Calibri" w:hAnsi="Calibri"/>
            <w:bCs/>
            <w:sz w:val="22"/>
          </w:rPr>
          <w:instrText xml:space="preserve"> NUMPAGES</w:instrText>
        </w:r>
        <w:r w:rsidR="0036669E">
          <w:rPr>
            <w:rFonts w:ascii="Calibri" w:hAnsi="Calibri"/>
            <w:bCs/>
            <w:sz w:val="22"/>
          </w:rPr>
          <w:instrText xml:space="preserve"> </w:instrText>
        </w:r>
        <w:r>
          <w:rPr>
            <w:rFonts w:ascii="Calibri" w:hAnsi="Calibri"/>
            <w:bCs/>
            <w:sz w:val="22"/>
          </w:rPr>
          <w:fldChar w:fldCharType="separate"/>
        </w:r>
        <w:r w:rsidR="00E9099F">
          <w:rPr>
            <w:rFonts w:ascii="Calibri" w:hAnsi="Calibri"/>
            <w:bCs/>
            <w:noProof/>
            <w:sz w:val="22"/>
          </w:rPr>
          <w:t>4</w:t>
        </w:r>
        <w:r>
          <w:rPr>
            <w:rFonts w:ascii="Calibri" w:hAnsi="Calibri"/>
            <w:bCs/>
            <w:sz w:val="22"/>
          </w:rPr>
          <w:fldChar w:fldCharType="end"/>
        </w:r>
      </w:p>
      <w:p w14:paraId="3A59F665" w14:textId="31B20D72" w:rsidR="00331297" w:rsidRDefault="00D91D7F">
        <w:pPr>
          <w:pStyle w:val="Footer"/>
          <w:jc w:val="right"/>
        </w:pPr>
      </w:p>
    </w:sdtContent>
  </w:sdt>
  <w:p w14:paraId="08542AC4" w14:textId="08E5D3BC" w:rsidR="00782DA7" w:rsidRDefault="00782DA7" w:rsidP="009E18A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0EF6" w14:textId="77777777" w:rsidR="009A2E55" w:rsidRDefault="009A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3D14" w14:textId="77777777" w:rsidR="00D91D7F" w:rsidRDefault="00D91D7F" w:rsidP="00C42CEA">
      <w:pPr>
        <w:spacing w:line="240" w:lineRule="auto"/>
      </w:pPr>
      <w:r>
        <w:separator/>
      </w:r>
    </w:p>
  </w:footnote>
  <w:footnote w:type="continuationSeparator" w:id="0">
    <w:p w14:paraId="5F2A0A7D" w14:textId="77777777" w:rsidR="00D91D7F" w:rsidRDefault="00D91D7F" w:rsidP="00C42CEA">
      <w:pPr>
        <w:spacing w:line="240" w:lineRule="auto"/>
      </w:pPr>
      <w:r>
        <w:continuationSeparator/>
      </w:r>
    </w:p>
  </w:footnote>
  <w:footnote w:id="1">
    <w:p w14:paraId="08542AC7" w14:textId="77777777" w:rsidR="00C42CEA" w:rsidRPr="001945F1" w:rsidRDefault="00C42CEA" w:rsidP="00C42CEA">
      <w:pPr>
        <w:pStyle w:val="FootnoteText"/>
        <w:rPr>
          <w:rFonts w:asciiTheme="minorHAnsi" w:hAnsiTheme="minorHAnsi"/>
        </w:rPr>
      </w:pPr>
      <w:r>
        <w:rPr>
          <w:rStyle w:val="FootnoteReference"/>
        </w:rPr>
        <w:footnoteRef/>
      </w:r>
      <w:r>
        <w:t xml:space="preserve"> </w:t>
      </w:r>
      <w:r>
        <w:rPr>
          <w:rFonts w:asciiTheme="minorHAnsi" w:hAnsiTheme="minorHAnsi"/>
        </w:rPr>
        <w:t>CBM Mètres cube</w:t>
      </w:r>
    </w:p>
  </w:footnote>
  <w:footnote w:id="2">
    <w:p w14:paraId="08542AC8" w14:textId="39497EA9" w:rsidR="00C42CEA" w:rsidRDefault="00C42CEA" w:rsidP="00C42CEA">
      <w:pPr>
        <w:pStyle w:val="FootnoteText"/>
      </w:pPr>
      <w:r>
        <w:rPr>
          <w:rStyle w:val="FootnoteReference"/>
        </w:rPr>
        <w:footnoteRef/>
      </w:r>
      <w:r>
        <w:t xml:space="preserve"> </w:t>
      </w:r>
      <w:r>
        <w:rPr>
          <w:rFonts w:asciiTheme="minorHAnsi" w:hAnsiTheme="minorHAnsi"/>
        </w:rPr>
        <w:t>Lb</w:t>
      </w:r>
      <w:r w:rsidR="0036669E">
        <w:rPr>
          <w:rFonts w:asciiTheme="minorHAnsi" w:hAnsiTheme="minorHAnsi"/>
        </w:rPr>
        <w:t> :</w:t>
      </w:r>
      <w:r>
        <w:rPr>
          <w:rFonts w:asciiTheme="minorHAnsi" w:hAnsiTheme="minorHAnsi"/>
        </w:rPr>
        <w:t xml:space="preserve"> livres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2AC0" w14:textId="1E8E66D1" w:rsidR="00081896" w:rsidRDefault="00D91D7F">
    <w:pPr>
      <w:pStyle w:val="Header"/>
    </w:pPr>
    <w:r>
      <w:rPr>
        <w:noProof/>
      </w:rPr>
      <w:pict w14:anchorId="580B2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6936" o:spid="_x0000_s2050" type="#_x0000_t75" style="position:absolute;left:0;text-align:left;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A4BD" w14:textId="77777777" w:rsidR="009A2E55" w:rsidRDefault="009A2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2AC5" w14:textId="7C203E64" w:rsidR="00081896" w:rsidRDefault="00D91D7F">
    <w:pPr>
      <w:pStyle w:val="Header"/>
    </w:pPr>
    <w:r>
      <w:rPr>
        <w:noProof/>
      </w:rPr>
      <w:pict w14:anchorId="7C067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6935" o:spid="_x0000_s2049" type="#_x0000_t75" style="position:absolute;left:0;text-align:left;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D5A28"/>
    <w:multiLevelType w:val="multilevel"/>
    <w:tmpl w:val="ACBC32BA"/>
    <w:lvl w:ilvl="0">
      <w:start w:val="1"/>
      <w:numFmt w:val="bullet"/>
      <w:pStyle w:val="Lis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 w15:restartNumberingAfterBreak="0">
    <w:nsid w:val="6B18445E"/>
    <w:multiLevelType w:val="hybridMultilevel"/>
    <w:tmpl w:val="FAEAAD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73723143"/>
    <w:multiLevelType w:val="multilevel"/>
    <w:tmpl w:val="FDFC55E6"/>
    <w:lvl w:ilvl="0">
      <w:start w:val="1"/>
      <w:numFmt w:val="none"/>
      <w:pStyle w:val="NOTE"/>
      <w:suff w:val="space"/>
      <w:lvlText w:val="NOTE: "/>
      <w:lvlJc w:val="left"/>
      <w:pPr>
        <w:ind w:left="0" w:firstLine="0"/>
      </w:pPr>
      <w:rPr>
        <w:rFonts w:ascii="Arial" w:hAnsi="Arial" w:hint="default"/>
        <w:b/>
        <w:i w:val="0"/>
        <w:color w:val="3B3B3B"/>
        <w:sz w:val="18"/>
      </w:rPr>
    </w:lvl>
    <w:lvl w:ilvl="1">
      <w:start w:val="1"/>
      <w:numFmt w:val="decimal"/>
      <w:lvlRestart w:val="0"/>
      <w:pStyle w:val="Step"/>
      <w:lvlText w:val="Step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EA"/>
    <w:rsid w:val="00050C0C"/>
    <w:rsid w:val="00081896"/>
    <w:rsid w:val="000A23C6"/>
    <w:rsid w:val="000F2AB8"/>
    <w:rsid w:val="00144E37"/>
    <w:rsid w:val="0015451D"/>
    <w:rsid w:val="00173EC6"/>
    <w:rsid w:val="00180EC1"/>
    <w:rsid w:val="00182072"/>
    <w:rsid w:val="001903F1"/>
    <w:rsid w:val="00243B78"/>
    <w:rsid w:val="00257ABD"/>
    <w:rsid w:val="0026123B"/>
    <w:rsid w:val="002A3FD6"/>
    <w:rsid w:val="002C6E37"/>
    <w:rsid w:val="002F2493"/>
    <w:rsid w:val="002F744C"/>
    <w:rsid w:val="003218CF"/>
    <w:rsid w:val="00331297"/>
    <w:rsid w:val="0036669E"/>
    <w:rsid w:val="00385C17"/>
    <w:rsid w:val="003863BF"/>
    <w:rsid w:val="003A1475"/>
    <w:rsid w:val="003A4465"/>
    <w:rsid w:val="003D113D"/>
    <w:rsid w:val="00410B2A"/>
    <w:rsid w:val="00470AF7"/>
    <w:rsid w:val="004D36C3"/>
    <w:rsid w:val="005009E9"/>
    <w:rsid w:val="00503F88"/>
    <w:rsid w:val="00530233"/>
    <w:rsid w:val="00532E07"/>
    <w:rsid w:val="00590B8B"/>
    <w:rsid w:val="005C55B6"/>
    <w:rsid w:val="005F0843"/>
    <w:rsid w:val="00602FCF"/>
    <w:rsid w:val="00665917"/>
    <w:rsid w:val="006D4694"/>
    <w:rsid w:val="00782DA7"/>
    <w:rsid w:val="00786509"/>
    <w:rsid w:val="007927E9"/>
    <w:rsid w:val="007A1FDA"/>
    <w:rsid w:val="007E0A83"/>
    <w:rsid w:val="00867C40"/>
    <w:rsid w:val="00876443"/>
    <w:rsid w:val="008765E1"/>
    <w:rsid w:val="008A6208"/>
    <w:rsid w:val="008C3694"/>
    <w:rsid w:val="00904155"/>
    <w:rsid w:val="009719E6"/>
    <w:rsid w:val="00996E4C"/>
    <w:rsid w:val="009A2E55"/>
    <w:rsid w:val="009E18AE"/>
    <w:rsid w:val="009E5E13"/>
    <w:rsid w:val="00A70FD9"/>
    <w:rsid w:val="00A874E0"/>
    <w:rsid w:val="00A9112C"/>
    <w:rsid w:val="00B0450A"/>
    <w:rsid w:val="00B449E3"/>
    <w:rsid w:val="00BB6223"/>
    <w:rsid w:val="00C02EB1"/>
    <w:rsid w:val="00C42CEA"/>
    <w:rsid w:val="00C60442"/>
    <w:rsid w:val="00C83AFA"/>
    <w:rsid w:val="00CC2A84"/>
    <w:rsid w:val="00CC2CC6"/>
    <w:rsid w:val="00CD0A1E"/>
    <w:rsid w:val="00D411B3"/>
    <w:rsid w:val="00D91D7F"/>
    <w:rsid w:val="00D96FA8"/>
    <w:rsid w:val="00DD3EA9"/>
    <w:rsid w:val="00DE756F"/>
    <w:rsid w:val="00DE7CA3"/>
    <w:rsid w:val="00E65BA3"/>
    <w:rsid w:val="00E735BC"/>
    <w:rsid w:val="00E9099F"/>
    <w:rsid w:val="00EA28C8"/>
    <w:rsid w:val="00EE1772"/>
    <w:rsid w:val="00F114BD"/>
    <w:rsid w:val="00F45A08"/>
    <w:rsid w:val="00F765CA"/>
    <w:rsid w:val="00F902A7"/>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5429D2"/>
  <w15:docId w15:val="{D994DB82-CE95-4E45-A787-BDBED0D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EA"/>
    <w:pPr>
      <w:jc w:val="both"/>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2"/>
    <w:semiHidden/>
    <w:rsid w:val="00C42CEA"/>
    <w:rPr>
      <w:rFonts w:ascii="Verdana" w:hAnsi="Verdana"/>
      <w:sz w:val="14"/>
      <w:vertAlign w:val="superscript"/>
    </w:rPr>
  </w:style>
  <w:style w:type="paragraph" w:styleId="FootnoteText">
    <w:name w:val="footnote text"/>
    <w:basedOn w:val="Normal"/>
    <w:link w:val="FootnoteTextChar"/>
    <w:uiPriority w:val="2"/>
    <w:semiHidden/>
    <w:rsid w:val="00C42CEA"/>
    <w:pPr>
      <w:spacing w:line="180" w:lineRule="atLeast"/>
    </w:pPr>
    <w:rPr>
      <w:sz w:val="14"/>
      <w:szCs w:val="20"/>
    </w:rPr>
  </w:style>
  <w:style w:type="character" w:customStyle="1" w:styleId="FootnoteTextChar">
    <w:name w:val="Footnote Text Char"/>
    <w:basedOn w:val="DefaultParagraphFont"/>
    <w:link w:val="FootnoteText"/>
    <w:uiPriority w:val="2"/>
    <w:semiHidden/>
    <w:rsid w:val="00C42CEA"/>
    <w:rPr>
      <w:rFonts w:ascii="Arial" w:hAnsi="Arial"/>
      <w:sz w:val="14"/>
      <w:szCs w:val="20"/>
      <w:lang w:val="fr-FR"/>
    </w:rPr>
  </w:style>
  <w:style w:type="paragraph" w:styleId="ListBullet">
    <w:name w:val="List Bullet"/>
    <w:basedOn w:val="Normal"/>
    <w:uiPriority w:val="2"/>
    <w:semiHidden/>
    <w:qFormat/>
    <w:rsid w:val="00C42CEA"/>
    <w:pPr>
      <w:numPr>
        <w:numId w:val="1"/>
      </w:numPr>
      <w:contextualSpacing/>
    </w:pPr>
  </w:style>
  <w:style w:type="paragraph" w:customStyle="1" w:styleId="NOTE">
    <w:name w:val="NOTE"/>
    <w:basedOn w:val="Normal"/>
    <w:next w:val="Normal"/>
    <w:uiPriority w:val="3"/>
    <w:rsid w:val="00C42CEA"/>
    <w:pPr>
      <w:numPr>
        <w:numId w:val="2"/>
      </w:numPr>
    </w:pPr>
  </w:style>
  <w:style w:type="paragraph" w:customStyle="1" w:styleId="Step">
    <w:name w:val="Step"/>
    <w:basedOn w:val="Normal"/>
    <w:next w:val="Normal"/>
    <w:uiPriority w:val="3"/>
    <w:rsid w:val="00C42CEA"/>
    <w:pPr>
      <w:numPr>
        <w:ilvl w:val="1"/>
        <w:numId w:val="2"/>
      </w:numPr>
      <w:spacing w:after="240"/>
    </w:pPr>
  </w:style>
  <w:style w:type="character" w:styleId="Hyperlink">
    <w:name w:val="Hyperlink"/>
    <w:basedOn w:val="DefaultParagraphFont"/>
    <w:uiPriority w:val="99"/>
    <w:semiHidden/>
    <w:rsid w:val="00C42CEA"/>
    <w:rPr>
      <w:color w:val="0000FF" w:themeColor="hyperlink"/>
      <w:u w:val="single"/>
    </w:rPr>
  </w:style>
  <w:style w:type="paragraph" w:customStyle="1" w:styleId="Punktopstilling-opremsning">
    <w:name w:val="Punktopstilling - opremsning"/>
    <w:basedOn w:val="ListBullet"/>
    <w:uiPriority w:val="2"/>
    <w:qFormat/>
    <w:rsid w:val="00C42CEA"/>
    <w:pPr>
      <w:tabs>
        <w:tab w:val="clear" w:pos="340"/>
      </w:tabs>
      <w:ind w:left="227" w:right="1701" w:hanging="227"/>
    </w:pPr>
    <w:rPr>
      <w:noProof/>
    </w:rPr>
  </w:style>
  <w:style w:type="table" w:styleId="TableGrid">
    <w:name w:val="Table Grid"/>
    <w:basedOn w:val="TableNormal"/>
    <w:uiPriority w:val="59"/>
    <w:rsid w:val="00C42C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pstilling-abc">
    <w:name w:val="Punktopstilling - abc"/>
    <w:basedOn w:val="Normal"/>
    <w:uiPriority w:val="5"/>
    <w:rsid w:val="00C42CEA"/>
    <w:pPr>
      <w:numPr>
        <w:ilvl w:val="2"/>
        <w:numId w:val="2"/>
      </w:numPr>
      <w:spacing w:after="60"/>
    </w:pPr>
  </w:style>
  <w:style w:type="paragraph" w:styleId="Header">
    <w:name w:val="header"/>
    <w:basedOn w:val="Normal"/>
    <w:link w:val="HeaderChar"/>
    <w:uiPriority w:val="99"/>
    <w:unhideWhenUsed/>
    <w:rsid w:val="00782DA7"/>
    <w:pPr>
      <w:tabs>
        <w:tab w:val="center" w:pos="4819"/>
        <w:tab w:val="right" w:pos="9638"/>
      </w:tabs>
      <w:spacing w:line="240" w:lineRule="auto"/>
    </w:pPr>
  </w:style>
  <w:style w:type="character" w:customStyle="1" w:styleId="HeaderChar">
    <w:name w:val="Header Char"/>
    <w:basedOn w:val="DefaultParagraphFont"/>
    <w:link w:val="Header"/>
    <w:uiPriority w:val="99"/>
    <w:rsid w:val="00782DA7"/>
    <w:rPr>
      <w:rFonts w:ascii="Arial" w:hAnsi="Arial"/>
      <w:sz w:val="18"/>
      <w:lang w:val="fr-FR"/>
    </w:rPr>
  </w:style>
  <w:style w:type="paragraph" w:styleId="Footer">
    <w:name w:val="footer"/>
    <w:basedOn w:val="Normal"/>
    <w:link w:val="FooterChar"/>
    <w:uiPriority w:val="99"/>
    <w:unhideWhenUsed/>
    <w:rsid w:val="00782DA7"/>
    <w:pPr>
      <w:tabs>
        <w:tab w:val="center" w:pos="4819"/>
        <w:tab w:val="right" w:pos="9638"/>
      </w:tabs>
      <w:spacing w:line="240" w:lineRule="auto"/>
    </w:pPr>
  </w:style>
  <w:style w:type="character" w:customStyle="1" w:styleId="FooterChar">
    <w:name w:val="Footer Char"/>
    <w:basedOn w:val="DefaultParagraphFont"/>
    <w:link w:val="Footer"/>
    <w:uiPriority w:val="99"/>
    <w:rsid w:val="00782DA7"/>
    <w:rPr>
      <w:rFonts w:ascii="Arial" w:hAnsi="Arial"/>
      <w:sz w:val="18"/>
      <w:lang w:val="fr-FR"/>
    </w:rPr>
  </w:style>
  <w:style w:type="character" w:styleId="PageNumber">
    <w:name w:val="page number"/>
    <w:basedOn w:val="DefaultParagraphFont"/>
    <w:rsid w:val="00782DA7"/>
  </w:style>
  <w:style w:type="paragraph" w:styleId="BalloonText">
    <w:name w:val="Balloon Text"/>
    <w:basedOn w:val="Normal"/>
    <w:link w:val="BalloonTextChar"/>
    <w:uiPriority w:val="99"/>
    <w:semiHidden/>
    <w:unhideWhenUsed/>
    <w:rsid w:val="00081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896"/>
    <w:rPr>
      <w:rFonts w:ascii="Tahoma" w:hAnsi="Tahoma" w:cs="Tahoma"/>
      <w:sz w:val="16"/>
      <w:szCs w:val="16"/>
      <w:lang w:val="fr-FR"/>
    </w:rPr>
  </w:style>
  <w:style w:type="paragraph" w:styleId="ListParagraph">
    <w:name w:val="List Paragraph"/>
    <w:basedOn w:val="Normal"/>
    <w:uiPriority w:val="34"/>
    <w:qFormat/>
    <w:rsid w:val="00366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DCADOC-377-10817</_dlc_DocId>
    <_dlc_DocIdUrl xmlns="58d44a88-3d02-4645-84eb-7e8385246cec">
      <Url>https://intra.dca.dk/Units/fict/prolog/_layouts/DocIdRedir.aspx?ID=DCADOC-377-10817</Url>
      <Description>DCADOC-377-10817</Description>
    </_dlc_DocIdUrl>
  </documentManagement>
</p:properties>
</file>

<file path=customXml/itemProps1.xml><?xml version="1.0" encoding="utf-8"?>
<ds:datastoreItem xmlns:ds="http://schemas.openxmlformats.org/officeDocument/2006/customXml" ds:itemID="{8DCF5331-C81A-4CE8-B81E-0F35983CDF04}">
  <ds:schemaRefs>
    <ds:schemaRef ds:uri="http://schemas.microsoft.com/sharepoint/v3/contenttype/forms"/>
  </ds:schemaRefs>
</ds:datastoreItem>
</file>

<file path=customXml/itemProps2.xml><?xml version="1.0" encoding="utf-8"?>
<ds:datastoreItem xmlns:ds="http://schemas.openxmlformats.org/officeDocument/2006/customXml" ds:itemID="{9C7F6C29-9259-41AB-A373-7B79D0302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A4E6B-66F3-47E2-BAB3-0E5F7949BACE}">
  <ds:schemaRefs>
    <ds:schemaRef ds:uri="http://schemas.microsoft.com/sharepoint/events"/>
  </ds:schemaRefs>
</ds:datastoreItem>
</file>

<file path=customXml/itemProps4.xml><?xml version="1.0" encoding="utf-8"?>
<ds:datastoreItem xmlns:ds="http://schemas.openxmlformats.org/officeDocument/2006/customXml" ds:itemID="{9FAEFC09-1743-465E-822D-EE269058158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Corinna Schüttler-Kvarme</cp:lastModifiedBy>
  <cp:revision>4</cp:revision>
  <dcterms:created xsi:type="dcterms:W3CDTF">2014-11-26T12:28:00Z</dcterms:created>
  <dcterms:modified xsi:type="dcterms:W3CDTF">2021-05-11T11:09:00Z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2673200</vt:r8>
  </property>
  <property fmtid="{D5CDD505-2E9C-101B-9397-08002B2CF9AE}" pid="6" name="_dlc_DocIdItemGuid">
    <vt:lpwstr>66c9529e-466d-49f0-b12a-8f7dfb4d46b8</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